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D38FC" w14:textId="77777777" w:rsidR="00254DF6" w:rsidRPr="003D7A01" w:rsidRDefault="00254DF6" w:rsidP="00BF08BD">
      <w:pPr>
        <w:pStyle w:val="TitleIJAIN"/>
      </w:pPr>
      <w:r w:rsidRPr="003D7A01">
        <w:t>Design of a Raw Material Inventory Control System for the Tempe Industry Using the Economic Order Quantity (EOQ) and Quantity Discount Approach</w:t>
      </w:r>
    </w:p>
    <w:p w14:paraId="0E42AAFE" w14:textId="3A37A32B" w:rsidR="003D7A01" w:rsidRPr="003D7A01" w:rsidRDefault="003D7A01" w:rsidP="003D7A01">
      <w:pPr>
        <w:spacing w:after="0"/>
        <w:rPr>
          <w:rFonts w:ascii="Junicode" w:hAnsi="Junicode"/>
        </w:rPr>
      </w:pPr>
      <w:proofErr w:type="spellStart"/>
      <w:r w:rsidRPr="003D7A01">
        <w:rPr>
          <w:rFonts w:ascii="Junicode" w:hAnsi="Junicode"/>
        </w:rPr>
        <w:t>Dafa</w:t>
      </w:r>
      <w:proofErr w:type="spellEnd"/>
      <w:r w:rsidRPr="003D7A01">
        <w:rPr>
          <w:rFonts w:ascii="Junicode" w:hAnsi="Junicode"/>
        </w:rPr>
        <w:t xml:space="preserve"> </w:t>
      </w:r>
      <w:proofErr w:type="spellStart"/>
      <w:r w:rsidRPr="003D7A01">
        <w:rPr>
          <w:rFonts w:ascii="Junicode" w:hAnsi="Junicode"/>
        </w:rPr>
        <w:t>Rizki</w:t>
      </w:r>
      <w:proofErr w:type="spellEnd"/>
      <w:r w:rsidRPr="003D7A01">
        <w:rPr>
          <w:rFonts w:ascii="Junicode" w:hAnsi="Junicode"/>
        </w:rPr>
        <w:t xml:space="preserve"> </w:t>
      </w:r>
      <w:r w:rsidRPr="003D7A01">
        <w:rPr>
          <w:rFonts w:ascii="Junicode" w:hAnsi="Junicode"/>
          <w:vertAlign w:val="superscript"/>
        </w:rPr>
        <w:t>1</w:t>
      </w:r>
      <w:r w:rsidRPr="003D7A01">
        <w:rPr>
          <w:rFonts w:ascii="Junicode" w:hAnsi="Junicode"/>
        </w:rPr>
        <w:t xml:space="preserve">, Dian </w:t>
      </w:r>
      <w:proofErr w:type="spellStart"/>
      <w:r w:rsidRPr="003D7A01">
        <w:rPr>
          <w:rFonts w:ascii="Junicode" w:hAnsi="Junicode"/>
        </w:rPr>
        <w:t>Fajarika</w:t>
      </w:r>
      <w:proofErr w:type="spellEnd"/>
      <w:r w:rsidRPr="003D7A01">
        <w:rPr>
          <w:rFonts w:ascii="Junicode" w:hAnsi="Junicode"/>
        </w:rPr>
        <w:t xml:space="preserve"> </w:t>
      </w:r>
      <w:r w:rsidRPr="003D7A01">
        <w:rPr>
          <w:rFonts w:ascii="Junicode" w:hAnsi="Junicode"/>
          <w:vertAlign w:val="superscript"/>
        </w:rPr>
        <w:t>2,*</w:t>
      </w:r>
      <w:r w:rsidRPr="003D7A01">
        <w:rPr>
          <w:rFonts w:ascii="Junicode" w:hAnsi="Junicode"/>
        </w:rPr>
        <w:t xml:space="preserve">, Sherin </w:t>
      </w:r>
      <w:proofErr w:type="spellStart"/>
      <w:r w:rsidRPr="003D7A01">
        <w:rPr>
          <w:rFonts w:ascii="Junicode" w:hAnsi="Junicode"/>
        </w:rPr>
        <w:t>Ramadhania</w:t>
      </w:r>
      <w:proofErr w:type="spellEnd"/>
      <w:r w:rsidRPr="003D7A01">
        <w:rPr>
          <w:rFonts w:ascii="Junicode" w:hAnsi="Junicode"/>
        </w:rPr>
        <w:t xml:space="preserve"> </w:t>
      </w:r>
      <w:r w:rsidRPr="003D7A01">
        <w:rPr>
          <w:rFonts w:ascii="Junicode" w:hAnsi="Junicode"/>
          <w:vertAlign w:val="superscript"/>
        </w:rPr>
        <w:t>3</w:t>
      </w:r>
      <w:r w:rsidRPr="003D7A01">
        <w:rPr>
          <w:rFonts w:ascii="Junicode" w:hAnsi="Junicode"/>
        </w:rPr>
        <w:t xml:space="preserve"> </w:t>
      </w:r>
    </w:p>
    <w:p w14:paraId="2EA69B8E" w14:textId="112B12B1" w:rsidR="003D7A01" w:rsidRPr="003D7A01" w:rsidRDefault="003D7A01" w:rsidP="003D7A01">
      <w:pPr>
        <w:spacing w:after="0"/>
        <w:rPr>
          <w:rFonts w:ascii="Junicode" w:hAnsi="Junicode"/>
          <w:i/>
          <w:sz w:val="18"/>
          <w:szCs w:val="18"/>
        </w:rPr>
      </w:pPr>
      <w:r w:rsidRPr="003D7A01">
        <w:rPr>
          <w:rFonts w:ascii="Junicode" w:hAnsi="Junicode"/>
          <w:sz w:val="18"/>
          <w:szCs w:val="18"/>
        </w:rPr>
        <w:t xml:space="preserve">Industrial Engineering, Faculty of Industrial Technology, </w:t>
      </w:r>
      <w:proofErr w:type="spellStart"/>
      <w:r w:rsidR="00067F6E">
        <w:rPr>
          <w:rFonts w:ascii="Junicode" w:hAnsi="Junicode"/>
          <w:sz w:val="18"/>
          <w:szCs w:val="18"/>
        </w:rPr>
        <w:t>Institut</w:t>
      </w:r>
      <w:proofErr w:type="spellEnd"/>
      <w:r w:rsidR="00067F6E">
        <w:rPr>
          <w:rFonts w:ascii="Junicode" w:hAnsi="Junicode"/>
          <w:sz w:val="18"/>
          <w:szCs w:val="18"/>
        </w:rPr>
        <w:t xml:space="preserve"> </w:t>
      </w:r>
      <w:proofErr w:type="spellStart"/>
      <w:r w:rsidR="00067F6E">
        <w:rPr>
          <w:rFonts w:ascii="Junicode" w:hAnsi="Junicode"/>
          <w:sz w:val="18"/>
          <w:szCs w:val="18"/>
        </w:rPr>
        <w:t>Teknologi</w:t>
      </w:r>
      <w:proofErr w:type="spellEnd"/>
      <w:r w:rsidR="00067F6E">
        <w:rPr>
          <w:rFonts w:ascii="Junicode" w:hAnsi="Junicode"/>
          <w:sz w:val="18"/>
          <w:szCs w:val="18"/>
        </w:rPr>
        <w:t xml:space="preserve"> Sumatera</w:t>
      </w:r>
      <w:r w:rsidRPr="003D7A01">
        <w:rPr>
          <w:rFonts w:ascii="Junicode" w:hAnsi="Junicode"/>
          <w:sz w:val="18"/>
          <w:szCs w:val="18"/>
        </w:rPr>
        <w:t>, South Lampung, Lampung</w:t>
      </w:r>
    </w:p>
    <w:p w14:paraId="48AA62CA" w14:textId="1B321871" w:rsidR="003D7A01" w:rsidRPr="003D7A01" w:rsidRDefault="003D7A01" w:rsidP="003D7A01">
      <w:pPr>
        <w:spacing w:after="0"/>
        <w:rPr>
          <w:rFonts w:ascii="Junicode" w:hAnsi="Junicode"/>
          <w:i/>
          <w:sz w:val="18"/>
          <w:szCs w:val="18"/>
        </w:rPr>
      </w:pPr>
      <w:r w:rsidRPr="003D7A01">
        <w:rPr>
          <w:rFonts w:ascii="Junicode" w:hAnsi="Junicode"/>
          <w:sz w:val="18"/>
          <w:szCs w:val="18"/>
          <w:vertAlign w:val="superscript"/>
        </w:rPr>
        <w:t>1</w:t>
      </w:r>
      <w:r w:rsidRPr="003D7A01">
        <w:rPr>
          <w:rFonts w:ascii="Junicode" w:hAnsi="Junicode"/>
          <w:sz w:val="18"/>
          <w:szCs w:val="18"/>
        </w:rPr>
        <w:t xml:space="preserve"> dafa.12119003@student.itera.ac.id; </w:t>
      </w:r>
      <w:r w:rsidRPr="003D7A01">
        <w:rPr>
          <w:rFonts w:ascii="Junicode" w:hAnsi="Junicode"/>
          <w:sz w:val="18"/>
          <w:szCs w:val="18"/>
          <w:vertAlign w:val="superscript"/>
        </w:rPr>
        <w:t xml:space="preserve">2 </w:t>
      </w:r>
      <w:r w:rsidRPr="003D7A01">
        <w:rPr>
          <w:rFonts w:ascii="Junicode" w:hAnsi="Junicode"/>
          <w:sz w:val="18"/>
          <w:szCs w:val="18"/>
        </w:rPr>
        <w:t>dian.fajarika@ti.itera.ac.id</w:t>
      </w:r>
      <w:r>
        <w:rPr>
          <w:rFonts w:ascii="Junicode" w:hAnsi="Junicode"/>
          <w:sz w:val="18"/>
          <w:szCs w:val="18"/>
        </w:rPr>
        <w:t>*</w:t>
      </w:r>
      <w:r w:rsidRPr="003D7A01">
        <w:rPr>
          <w:rFonts w:ascii="Junicode" w:hAnsi="Junicode"/>
          <w:sz w:val="18"/>
          <w:szCs w:val="18"/>
        </w:rPr>
        <w:t xml:space="preserve">; </w:t>
      </w:r>
      <w:r w:rsidRPr="003D7A01">
        <w:rPr>
          <w:rFonts w:ascii="Junicode" w:hAnsi="Junicode"/>
          <w:sz w:val="18"/>
          <w:szCs w:val="18"/>
          <w:vertAlign w:val="superscript"/>
        </w:rPr>
        <w:t xml:space="preserve">3 </w:t>
      </w:r>
      <w:r w:rsidRPr="003D7A01">
        <w:rPr>
          <w:rFonts w:ascii="Junicode" w:hAnsi="Junicode"/>
          <w:sz w:val="18"/>
          <w:szCs w:val="18"/>
        </w:rPr>
        <w:t>sherin.ramadhania@ti.itera.ac.id</w:t>
      </w:r>
    </w:p>
    <w:p w14:paraId="3BE004BF" w14:textId="31147ABE" w:rsidR="00254DF6" w:rsidRPr="003D7A01" w:rsidRDefault="003D7A01" w:rsidP="003D7A01">
      <w:pPr>
        <w:pStyle w:val="AuthorAffiliation"/>
        <w:rPr>
          <w:color w:val="000000"/>
        </w:rPr>
      </w:pPr>
      <w:r w:rsidRPr="003D7A01">
        <w:rPr>
          <w:color w:val="000000"/>
        </w:rPr>
        <w:t>* Corresponding author</w:t>
      </w:r>
    </w:p>
    <w:p w14:paraId="465D7CA8" w14:textId="77777777" w:rsidR="003D7A01" w:rsidRPr="003D7A01" w:rsidRDefault="003D7A01" w:rsidP="003D7A01"/>
    <w:tbl>
      <w:tblPr>
        <w:tblpPr w:leftFromText="187" w:rightFromText="187" w:bottomFromText="187" w:vertAnchor="text" w:tblpY="1"/>
        <w:tblOverlap w:val="never"/>
        <w:tblW w:w="8660" w:type="dxa"/>
        <w:tblCellMar>
          <w:left w:w="0" w:type="dxa"/>
          <w:right w:w="0" w:type="dxa"/>
        </w:tblCellMar>
        <w:tblLook w:val="0000" w:firstRow="0" w:lastRow="0" w:firstColumn="0" w:lastColumn="0" w:noHBand="0" w:noVBand="0"/>
      </w:tblPr>
      <w:tblGrid>
        <w:gridCol w:w="2330"/>
        <w:gridCol w:w="273"/>
        <w:gridCol w:w="6057"/>
      </w:tblGrid>
      <w:tr w:rsidR="00E16CB6" w:rsidRPr="003D7A01" w14:paraId="2A14807A" w14:textId="77777777" w:rsidTr="00E16CB6">
        <w:trPr>
          <w:trHeight w:val="730"/>
        </w:trPr>
        <w:tc>
          <w:tcPr>
            <w:tcW w:w="2330" w:type="dxa"/>
            <w:tcBorders>
              <w:top w:val="double" w:sz="4" w:space="0" w:color="002060"/>
              <w:bottom w:val="double" w:sz="4" w:space="0" w:color="002060"/>
            </w:tcBorders>
            <w:vAlign w:val="center"/>
          </w:tcPr>
          <w:p w14:paraId="1C22EE21" w14:textId="77777777" w:rsidR="00E16CB6" w:rsidRPr="003D7A01" w:rsidRDefault="00E16CB6" w:rsidP="00E21C70">
            <w:pPr>
              <w:pStyle w:val="ArticleinfoHead"/>
            </w:pPr>
            <w:r w:rsidRPr="003D7A01">
              <w:t>ARTICLE INFO</w:t>
            </w:r>
          </w:p>
        </w:tc>
        <w:tc>
          <w:tcPr>
            <w:tcW w:w="273" w:type="dxa"/>
            <w:tcBorders>
              <w:top w:val="double" w:sz="4" w:space="0" w:color="002060"/>
              <w:bottom w:val="double" w:sz="4" w:space="0" w:color="002060"/>
            </w:tcBorders>
          </w:tcPr>
          <w:p w14:paraId="03161A32" w14:textId="77777777" w:rsidR="00E16CB6" w:rsidRPr="003D7A01" w:rsidRDefault="00E16CB6" w:rsidP="00E21C70">
            <w:pPr>
              <w:pStyle w:val="AbstractHead"/>
            </w:pPr>
          </w:p>
        </w:tc>
        <w:tc>
          <w:tcPr>
            <w:tcW w:w="6057" w:type="dxa"/>
            <w:tcBorders>
              <w:top w:val="double" w:sz="4" w:space="0" w:color="002060"/>
              <w:bottom w:val="double" w:sz="4" w:space="0" w:color="002060"/>
            </w:tcBorders>
            <w:tcMar>
              <w:left w:w="240" w:type="dxa"/>
            </w:tcMar>
            <w:vAlign w:val="center"/>
          </w:tcPr>
          <w:p w14:paraId="01F7981B" w14:textId="77777777" w:rsidR="00E16CB6" w:rsidRPr="003D7A01" w:rsidRDefault="00E16CB6" w:rsidP="00E21C70">
            <w:pPr>
              <w:pStyle w:val="AbstractHead"/>
            </w:pPr>
            <w:r w:rsidRPr="003D7A01">
              <w:t xml:space="preserve">ABSTRACT </w:t>
            </w:r>
          </w:p>
        </w:tc>
      </w:tr>
      <w:tr w:rsidR="00E16CB6" w:rsidRPr="003D7A01" w14:paraId="521E17A7" w14:textId="77777777" w:rsidTr="00E16CB6">
        <w:trPr>
          <w:cantSplit/>
          <w:trHeight w:val="1082"/>
        </w:trPr>
        <w:tc>
          <w:tcPr>
            <w:tcW w:w="2330" w:type="dxa"/>
            <w:tcBorders>
              <w:top w:val="double" w:sz="4" w:space="0" w:color="002060"/>
            </w:tcBorders>
            <w:tcMar>
              <w:top w:w="72" w:type="dxa"/>
            </w:tcMar>
          </w:tcPr>
          <w:p w14:paraId="6F9198E2" w14:textId="77777777" w:rsidR="00E16CB6" w:rsidRPr="003D7A01" w:rsidRDefault="00E16CB6" w:rsidP="00E21C70">
            <w:pPr>
              <w:pStyle w:val="Articlehistory"/>
              <w:rPr>
                <w:rFonts w:ascii="Times New Roman" w:hAnsi="Times New Roman"/>
                <w:b/>
              </w:rPr>
            </w:pPr>
          </w:p>
          <w:p w14:paraId="3FA3188D" w14:textId="77777777" w:rsidR="00E16CB6" w:rsidRPr="003D7A01" w:rsidRDefault="00E16CB6" w:rsidP="00E21C70">
            <w:pPr>
              <w:pStyle w:val="ArticlehistoryHead"/>
              <w:framePr w:hSpace="0" w:wrap="auto" w:vAnchor="margin" w:yAlign="inline"/>
              <w:suppressOverlap w:val="0"/>
              <w:rPr>
                <w:rFonts w:ascii="Times New Roman" w:hAnsi="Times New Roman"/>
              </w:rPr>
            </w:pPr>
            <w:r w:rsidRPr="003D7A01">
              <w:rPr>
                <w:rFonts w:ascii="Times New Roman" w:hAnsi="Times New Roman"/>
              </w:rPr>
              <w:t>Article history</w:t>
            </w:r>
          </w:p>
          <w:p w14:paraId="7307E9A0" w14:textId="77777777" w:rsidR="0073721C" w:rsidRPr="00546C2B" w:rsidRDefault="0073721C" w:rsidP="0073721C">
            <w:pPr>
              <w:pStyle w:val="Articlehistory"/>
              <w:rPr>
                <w:rFonts w:ascii="Times New Roman" w:hAnsi="Times New Roman"/>
              </w:rPr>
            </w:pPr>
            <w:r w:rsidRPr="00546C2B">
              <w:rPr>
                <w:rFonts w:ascii="Times New Roman" w:hAnsi="Times New Roman"/>
              </w:rPr>
              <w:t xml:space="preserve">Received: </w:t>
            </w:r>
            <w:r>
              <w:rPr>
                <w:rFonts w:ascii="Times New Roman" w:hAnsi="Times New Roman"/>
              </w:rPr>
              <w:t xml:space="preserve">October </w:t>
            </w:r>
            <w:r w:rsidRPr="00546C2B">
              <w:rPr>
                <w:rFonts w:ascii="Times New Roman" w:hAnsi="Times New Roman"/>
              </w:rPr>
              <w:t>202</w:t>
            </w:r>
            <w:r>
              <w:rPr>
                <w:rFonts w:ascii="Times New Roman" w:hAnsi="Times New Roman"/>
              </w:rPr>
              <w:t>5</w:t>
            </w:r>
          </w:p>
          <w:p w14:paraId="119AA33A" w14:textId="77777777" w:rsidR="0073721C" w:rsidRPr="00546C2B" w:rsidRDefault="0073721C" w:rsidP="0073721C">
            <w:pPr>
              <w:pStyle w:val="Articlehistory"/>
              <w:rPr>
                <w:rFonts w:ascii="Times New Roman" w:hAnsi="Times New Roman"/>
              </w:rPr>
            </w:pPr>
            <w:r w:rsidRPr="00546C2B">
              <w:rPr>
                <w:rFonts w:ascii="Times New Roman" w:hAnsi="Times New Roman"/>
              </w:rPr>
              <w:t xml:space="preserve">Revised: </w:t>
            </w:r>
            <w:r>
              <w:rPr>
                <w:rFonts w:ascii="Times New Roman" w:hAnsi="Times New Roman"/>
              </w:rPr>
              <w:t>October</w:t>
            </w:r>
            <w:r w:rsidRPr="00546C2B">
              <w:rPr>
                <w:rFonts w:ascii="Times New Roman" w:hAnsi="Times New Roman"/>
              </w:rPr>
              <w:t xml:space="preserve"> 2026</w:t>
            </w:r>
          </w:p>
          <w:p w14:paraId="594B6B19" w14:textId="7474A489" w:rsidR="00E16CB6" w:rsidRPr="003D7A01" w:rsidRDefault="0073721C" w:rsidP="0073721C">
            <w:pPr>
              <w:pStyle w:val="Articlehistory"/>
              <w:rPr>
                <w:rFonts w:ascii="Times New Roman" w:hAnsi="Times New Roman"/>
                <w:i/>
              </w:rPr>
            </w:pPr>
            <w:r w:rsidRPr="00546C2B">
              <w:rPr>
                <w:rFonts w:ascii="Times New Roman" w:hAnsi="Times New Roman"/>
              </w:rPr>
              <w:t xml:space="preserve">Accepted: </w:t>
            </w:r>
            <w:r>
              <w:rPr>
                <w:rFonts w:ascii="Times New Roman" w:hAnsi="Times New Roman"/>
              </w:rPr>
              <w:t>October</w:t>
            </w:r>
            <w:r w:rsidRPr="00546C2B">
              <w:rPr>
                <w:rFonts w:ascii="Times New Roman" w:hAnsi="Times New Roman"/>
              </w:rPr>
              <w:t xml:space="preserve"> 2026</w:t>
            </w:r>
          </w:p>
        </w:tc>
        <w:tc>
          <w:tcPr>
            <w:tcW w:w="273" w:type="dxa"/>
            <w:tcBorders>
              <w:top w:val="double" w:sz="4" w:space="0" w:color="002060"/>
            </w:tcBorders>
          </w:tcPr>
          <w:p w14:paraId="3D5873A7" w14:textId="77777777" w:rsidR="00E16CB6" w:rsidRPr="003D7A01" w:rsidRDefault="00E16CB6" w:rsidP="00E21C70">
            <w:pPr>
              <w:pStyle w:val="AbstractText"/>
              <w:ind w:right="144"/>
              <w:rPr>
                <w:lang w:val="en-US"/>
              </w:rPr>
            </w:pPr>
          </w:p>
        </w:tc>
        <w:tc>
          <w:tcPr>
            <w:tcW w:w="6057" w:type="dxa"/>
            <w:vMerge w:val="restart"/>
            <w:tcBorders>
              <w:top w:val="double" w:sz="4" w:space="0" w:color="002060"/>
            </w:tcBorders>
            <w:tcMar>
              <w:left w:w="240" w:type="dxa"/>
            </w:tcMar>
          </w:tcPr>
          <w:p w14:paraId="055991C8" w14:textId="3C78C859" w:rsidR="00E16CB6" w:rsidRPr="003D7A01" w:rsidRDefault="00E16CB6" w:rsidP="00E21C70">
            <w:pPr>
              <w:pStyle w:val="AbstractText"/>
              <w:rPr>
                <w:lang w:val="en-US"/>
              </w:rPr>
            </w:pPr>
            <w:r w:rsidRPr="003D7A01">
              <w:rPr>
                <w:lang w:val="en-US"/>
              </w:rPr>
              <w:t>Planning of raw material inventory control is essential for reducing operational waste. This study aims to design a soybean raw material inventory control system at Tempe Galang Small Enterprise to minimize the potential for overstocking and stockouts. The approach used is the Economic Order Quantity (EOQ) method, taking into account quantity discounts, safety stock determination, and reorder point calculations. The research data was obtained through interviews with the SME owner and direct observation, covering demand history, order costs, storage costs, and delivery waiting times. The results show that the optimal order quantity is 69 kg per order, thereby reducing the order frequency from 141 times to 80 times per period. The safety stock level is set at 24 kg/day with a reorder point of 40 kg. The application of this method resulted in inventory cost efficiency of IDR 5,109,580 or about 8% of the previous total cost, mainly through a reduction in order frequency and the utilization of quantity discounts. In addition, the design of a semi-manual control system based on Microsoft Excel allows business actors to plan inventory independently in a more effective and efficient manner.</w:t>
            </w:r>
          </w:p>
        </w:tc>
      </w:tr>
      <w:tr w:rsidR="00E16CB6" w:rsidRPr="003D7A01" w14:paraId="1C2026BB" w14:textId="77777777" w:rsidTr="00E16CB6">
        <w:trPr>
          <w:cantSplit/>
          <w:trHeight w:val="1427"/>
        </w:trPr>
        <w:tc>
          <w:tcPr>
            <w:tcW w:w="2330" w:type="dxa"/>
            <w:tcBorders>
              <w:bottom w:val="double" w:sz="4" w:space="0" w:color="002060"/>
            </w:tcBorders>
            <w:tcMar>
              <w:top w:w="72" w:type="dxa"/>
              <w:left w:w="0" w:type="dxa"/>
            </w:tcMar>
          </w:tcPr>
          <w:p w14:paraId="677E3656" w14:textId="77777777" w:rsidR="00E16CB6" w:rsidRPr="003D7A01" w:rsidRDefault="00E16CB6" w:rsidP="00E21C70">
            <w:pPr>
              <w:pStyle w:val="KeywordHead"/>
              <w:rPr>
                <w:rFonts w:ascii="Times New Roman" w:hAnsi="Times New Roman"/>
                <w:b/>
              </w:rPr>
            </w:pPr>
          </w:p>
          <w:p w14:paraId="6FF764D2" w14:textId="77777777" w:rsidR="00E16CB6" w:rsidRPr="003D7A01" w:rsidRDefault="00E16CB6" w:rsidP="00E21C70">
            <w:pPr>
              <w:pStyle w:val="Keyword"/>
              <w:rPr>
                <w:rFonts w:ascii="Times New Roman" w:hAnsi="Times New Roman"/>
                <w:b/>
              </w:rPr>
            </w:pPr>
            <w:r w:rsidRPr="003D7A01">
              <w:rPr>
                <w:rFonts w:ascii="Times New Roman" w:hAnsi="Times New Roman"/>
                <w:b/>
              </w:rPr>
              <w:t>Keywords</w:t>
            </w:r>
          </w:p>
          <w:p w14:paraId="00E3B57E" w14:textId="77777777" w:rsidR="00E16CB6" w:rsidRPr="003D7A01" w:rsidRDefault="00E16CB6" w:rsidP="00E21C70">
            <w:pPr>
              <w:pStyle w:val="Keyword"/>
              <w:rPr>
                <w:rFonts w:ascii="Times New Roman" w:hAnsi="Times New Roman"/>
              </w:rPr>
            </w:pPr>
            <w:r w:rsidRPr="003D7A01">
              <w:rPr>
                <w:rFonts w:ascii="Times New Roman" w:hAnsi="Times New Roman"/>
              </w:rPr>
              <w:t>Economic Order Quantity</w:t>
            </w:r>
          </w:p>
          <w:p w14:paraId="3AB65726" w14:textId="77777777" w:rsidR="00E16CB6" w:rsidRPr="003D7A01" w:rsidRDefault="00E16CB6" w:rsidP="00E21C70">
            <w:pPr>
              <w:pStyle w:val="Keyword"/>
              <w:rPr>
                <w:rFonts w:ascii="Times New Roman" w:hAnsi="Times New Roman"/>
              </w:rPr>
            </w:pPr>
            <w:r w:rsidRPr="003D7A01">
              <w:rPr>
                <w:rFonts w:ascii="Times New Roman" w:hAnsi="Times New Roman"/>
              </w:rPr>
              <w:t>Quantity Discounts</w:t>
            </w:r>
          </w:p>
          <w:p w14:paraId="003A2560" w14:textId="77777777" w:rsidR="00E16CB6" w:rsidRPr="003D7A01" w:rsidRDefault="00E16CB6" w:rsidP="00E21C70">
            <w:pPr>
              <w:pStyle w:val="Keyword"/>
              <w:rPr>
                <w:rFonts w:ascii="Times New Roman" w:hAnsi="Times New Roman"/>
              </w:rPr>
            </w:pPr>
            <w:r w:rsidRPr="003D7A01">
              <w:rPr>
                <w:rFonts w:ascii="Times New Roman" w:hAnsi="Times New Roman"/>
              </w:rPr>
              <w:t>Safety Stock</w:t>
            </w:r>
          </w:p>
          <w:p w14:paraId="51B88746" w14:textId="77777777" w:rsidR="00E16CB6" w:rsidRPr="003D7A01" w:rsidRDefault="00E16CB6" w:rsidP="00E21C70">
            <w:pPr>
              <w:pStyle w:val="Keyword"/>
              <w:rPr>
                <w:rFonts w:ascii="Times New Roman" w:hAnsi="Times New Roman"/>
              </w:rPr>
            </w:pPr>
            <w:r w:rsidRPr="003D7A01">
              <w:rPr>
                <w:rFonts w:ascii="Times New Roman" w:hAnsi="Times New Roman"/>
              </w:rPr>
              <w:t>Reorder Point</w:t>
            </w:r>
          </w:p>
          <w:p w14:paraId="2F2A7980" w14:textId="77777777" w:rsidR="00E16CB6" w:rsidRPr="003D7A01" w:rsidRDefault="00E16CB6" w:rsidP="00E21C70">
            <w:pPr>
              <w:pStyle w:val="Keyword"/>
              <w:rPr>
                <w:rFonts w:ascii="Times New Roman" w:hAnsi="Times New Roman"/>
              </w:rPr>
            </w:pPr>
            <w:r w:rsidRPr="003D7A01">
              <w:rPr>
                <w:rFonts w:ascii="Times New Roman" w:hAnsi="Times New Roman"/>
              </w:rPr>
              <w:t>Inventory Control</w:t>
            </w:r>
          </w:p>
          <w:p w14:paraId="0B83E909" w14:textId="77777777" w:rsidR="00E16CB6" w:rsidRPr="003D7A01" w:rsidRDefault="00E16CB6" w:rsidP="00E21C70">
            <w:pPr>
              <w:pStyle w:val="Keyword"/>
              <w:rPr>
                <w:rFonts w:ascii="Times New Roman" w:hAnsi="Times New Roman"/>
              </w:rPr>
            </w:pPr>
          </w:p>
        </w:tc>
        <w:tc>
          <w:tcPr>
            <w:tcW w:w="273" w:type="dxa"/>
            <w:tcBorders>
              <w:bottom w:val="double" w:sz="4" w:space="0" w:color="002060"/>
            </w:tcBorders>
          </w:tcPr>
          <w:p w14:paraId="5E8FC753" w14:textId="77777777" w:rsidR="00E16CB6" w:rsidRPr="003D7A01" w:rsidRDefault="00E16CB6" w:rsidP="00E21C70">
            <w:pPr>
              <w:spacing w:after="80" w:line="200" w:lineRule="exact"/>
              <w:rPr>
                <w:rFonts w:ascii="Junicode" w:hAnsi="Junicode"/>
              </w:rPr>
            </w:pPr>
          </w:p>
        </w:tc>
        <w:tc>
          <w:tcPr>
            <w:tcW w:w="6057" w:type="dxa"/>
            <w:vMerge/>
            <w:tcBorders>
              <w:bottom w:val="double" w:sz="4" w:space="0" w:color="002060"/>
            </w:tcBorders>
          </w:tcPr>
          <w:p w14:paraId="4CDE98D0" w14:textId="77777777" w:rsidR="00E16CB6" w:rsidRPr="003D7A01" w:rsidRDefault="00E16CB6" w:rsidP="00E21C70">
            <w:pPr>
              <w:spacing w:after="80" w:line="200" w:lineRule="exact"/>
              <w:rPr>
                <w:rFonts w:ascii="Junicode" w:hAnsi="Junicode"/>
              </w:rPr>
            </w:pPr>
          </w:p>
        </w:tc>
      </w:tr>
    </w:tbl>
    <w:p w14:paraId="187A8EE8" w14:textId="77777777" w:rsidR="00254DF6" w:rsidRPr="00E16CB6" w:rsidRDefault="00254DF6" w:rsidP="00360F95">
      <w:pPr>
        <w:pStyle w:val="Heading1"/>
        <w:numPr>
          <w:ilvl w:val="0"/>
          <w:numId w:val="1"/>
        </w:numPr>
        <w:tabs>
          <w:tab w:val="left" w:pos="284"/>
        </w:tabs>
        <w:spacing w:before="120"/>
        <w:ind w:left="0" w:firstLine="0"/>
        <w:rPr>
          <w:rFonts w:ascii="Times New Roman" w:hAnsi="Times New Roman" w:cs="Times New Roman"/>
          <w:b/>
          <w:bCs/>
          <w:color w:val="000000" w:themeColor="text1"/>
          <w:sz w:val="22"/>
          <w:szCs w:val="22"/>
        </w:rPr>
      </w:pPr>
      <w:r w:rsidRPr="00E16CB6">
        <w:rPr>
          <w:rFonts w:ascii="Times New Roman" w:hAnsi="Times New Roman" w:cs="Times New Roman"/>
          <w:b/>
          <w:bCs/>
          <w:color w:val="000000" w:themeColor="text1"/>
          <w:sz w:val="22"/>
          <w:szCs w:val="22"/>
        </w:rPr>
        <w:t xml:space="preserve">Introduction </w:t>
      </w:r>
    </w:p>
    <w:p w14:paraId="30C90BE3" w14:textId="0272E458" w:rsidR="00254DF6" w:rsidRPr="003D7A01" w:rsidRDefault="00254DF6" w:rsidP="00F140C0">
      <w:pPr>
        <w:pStyle w:val="BodyText"/>
        <w:spacing w:after="0" w:line="276" w:lineRule="auto"/>
        <w:ind w:firstLine="567"/>
        <w:rPr>
          <w:sz w:val="20"/>
        </w:rPr>
      </w:pPr>
      <w:r w:rsidRPr="003D7A01">
        <w:rPr>
          <w:sz w:val="20"/>
        </w:rPr>
        <w:t xml:space="preserve">Small and Medium Enterprises (SMEs) in the food sector in Indonesia represent a labor-intensive industry with a strategic role in job creation and regional economic development </w:t>
      </w:r>
      <w:sdt>
        <w:sdtPr>
          <w:rPr>
            <w:sz w:val="20"/>
          </w:rPr>
          <w:tag w:val="MENDELEY_CITATION_v3_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"/>
          <w:id w:val="454995028"/>
          <w:placeholder>
            <w:docPart w:val="DefaultPlaceholder_-1854013440"/>
          </w:placeholder>
        </w:sdtPr>
        <w:sdtContent>
          <w:r w:rsidR="00CC1D18" w:rsidRPr="003D7A01">
            <w:rPr>
              <w:color w:val="000000"/>
              <w:sz w:val="20"/>
            </w:rPr>
            <w:t>[1]</w:t>
          </w:r>
        </w:sdtContent>
      </w:sdt>
      <w:r w:rsidRPr="003D7A01">
        <w:rPr>
          <w:sz w:val="20"/>
        </w:rPr>
        <w:t xml:space="preserve">. In 2023, the number of SMEs in </w:t>
      </w:r>
      <w:r w:rsidRPr="00F140C0">
        <w:rPr>
          <w:color w:val="000000"/>
          <w:sz w:val="20"/>
          <w:szCs w:val="18"/>
        </w:rPr>
        <w:t>Indonesia</w:t>
      </w:r>
      <w:r w:rsidRPr="003D7A01">
        <w:rPr>
          <w:sz w:val="20"/>
        </w:rPr>
        <w:t xml:space="preserve"> reached 4.5 million business units, with the largest contribution coming from the food sector, accounting for 1.8 million units </w:t>
      </w:r>
      <w:sdt>
        <w:sdtPr>
          <w:rPr>
            <w:sz w:val="20"/>
          </w:rPr>
          <w:tag w:val="MENDELEY_CITATION_v3_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"/>
          <w:id w:val="-1463107263"/>
          <w:placeholder>
            <w:docPart w:val="DefaultPlaceholder_-1854013440"/>
          </w:placeholder>
        </w:sdtPr>
        <w:sdtContent>
          <w:r w:rsidR="00CC1D18" w:rsidRPr="003D7A01">
            <w:rPr>
              <w:color w:val="000000"/>
              <w:sz w:val="20"/>
            </w:rPr>
            <w:t>[2]</w:t>
          </w:r>
        </w:sdtContent>
      </w:sdt>
      <w:r w:rsidRPr="003D7A01">
        <w:rPr>
          <w:sz w:val="20"/>
        </w:rPr>
        <w:t>. One of the businesses in this sector is the tempeh industries, which focuses on producing soybean-based processed products.</w:t>
      </w:r>
    </w:p>
    <w:p w14:paraId="2BD9C062" w14:textId="094BE663" w:rsidR="00254DF6" w:rsidRPr="003D7A01" w:rsidRDefault="00254DF6" w:rsidP="00F140C0">
      <w:pPr>
        <w:pStyle w:val="BodyText"/>
        <w:spacing w:after="0" w:line="276" w:lineRule="auto"/>
        <w:ind w:firstLine="567"/>
        <w:rPr>
          <w:sz w:val="20"/>
        </w:rPr>
      </w:pPr>
      <w:r w:rsidRPr="003D7A01">
        <w:rPr>
          <w:sz w:val="20"/>
        </w:rPr>
        <w:t xml:space="preserve">Tempeh is a traditional Indonesian food originating from the island of Java and is produced through the fermentation of soybeans </w:t>
      </w:r>
      <w:sdt>
        <w:sdtPr>
          <w:rPr>
            <w:sz w:val="20"/>
          </w:rPr>
          <w:tag w:val="MENDELEY_CITATION_v3_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"/>
          <w:id w:val="1600833623"/>
          <w:placeholder>
            <w:docPart w:val="DefaultPlaceholder_-1854013440"/>
          </w:placeholder>
        </w:sdtPr>
        <w:sdtContent>
          <w:r w:rsidR="00CC1D18" w:rsidRPr="003D7A01">
            <w:rPr>
              <w:color w:val="000000"/>
              <w:sz w:val="20"/>
            </w:rPr>
            <w:t>[3]</w:t>
          </w:r>
        </w:sdtContent>
      </w:sdt>
      <w:r w:rsidRPr="003D7A01">
        <w:rPr>
          <w:sz w:val="20"/>
        </w:rPr>
        <w:t xml:space="preserve">. It is widely consumed by the Indonesian population, with an average per capita </w:t>
      </w:r>
      <w:r w:rsidRPr="00F140C0">
        <w:rPr>
          <w:color w:val="000000"/>
          <w:sz w:val="20"/>
          <w:szCs w:val="18"/>
        </w:rPr>
        <w:t>consumption</w:t>
      </w:r>
      <w:r w:rsidRPr="003D7A01">
        <w:rPr>
          <w:sz w:val="20"/>
        </w:rPr>
        <w:t xml:space="preserve"> of 0.136 kg per week </w:t>
      </w:r>
      <w:sdt>
        <w:sdtPr>
          <w:rPr>
            <w:sz w:val="20"/>
          </w:rPr>
          <w:tag w:val="MENDELEY_CITATION_v3_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"/>
          <w:id w:val="1439333303"/>
          <w:placeholder>
            <w:docPart w:val="DefaultPlaceholder_-1854013440"/>
          </w:placeholder>
        </w:sdtPr>
        <w:sdtContent>
          <w:r w:rsidR="00CC1D18" w:rsidRPr="003D7A01">
            <w:rPr>
              <w:color w:val="000000"/>
              <w:sz w:val="20"/>
            </w:rPr>
            <w:t>[4]</w:t>
          </w:r>
        </w:sdtContent>
      </w:sdt>
      <w:r w:rsidRPr="003D7A01">
        <w:rPr>
          <w:sz w:val="20"/>
        </w:rPr>
        <w:t>. This data show</w:t>
      </w:r>
      <w:r w:rsidR="00ED7E3D">
        <w:rPr>
          <w:sz w:val="20"/>
        </w:rPr>
        <w:t>ed</w:t>
      </w:r>
      <w:r w:rsidRPr="003D7A01">
        <w:rPr>
          <w:sz w:val="20"/>
        </w:rPr>
        <w:t xml:space="preserve"> the high level of consumption has led to the rapid growth of tempeh industries in various regions. In addition to its popularity, tempeh also offers functional health benefits due to its nutritional content and bioactive compounds, which contribute to enhancing immune function, maintaining cardiovascular health, supporting brain function, fulfilling vitamin B12 requirements, and potentially preventing various diseases such as anemia, diabetes, asthma, and cancer </w:t>
      </w:r>
      <w:sdt>
        <w:sdtPr>
          <w:rPr>
            <w:sz w:val="20"/>
          </w:rPr>
          <w:tag w:val="MENDELEY_CITATION_v3_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"/>
          <w:id w:val="-567497021"/>
          <w:placeholder>
            <w:docPart w:val="DefaultPlaceholder_-1854013440"/>
          </w:placeholder>
        </w:sdtPr>
        <w:sdtContent>
          <w:r w:rsidR="00CC1D18" w:rsidRPr="003D7A01">
            <w:rPr>
              <w:color w:val="000000"/>
              <w:sz w:val="20"/>
            </w:rPr>
            <w:t>[5]</w:t>
          </w:r>
        </w:sdtContent>
      </w:sdt>
      <w:r w:rsidRPr="003D7A01">
        <w:rPr>
          <w:sz w:val="20"/>
        </w:rPr>
        <w:t>.</w:t>
      </w:r>
    </w:p>
    <w:p w14:paraId="5BB63CED" w14:textId="77777777" w:rsidR="00254DF6" w:rsidRPr="003D7A01" w:rsidRDefault="00254DF6" w:rsidP="00F140C0">
      <w:pPr>
        <w:pStyle w:val="BodyText"/>
        <w:spacing w:after="0" w:line="276" w:lineRule="auto"/>
        <w:ind w:firstLine="567"/>
        <w:rPr>
          <w:sz w:val="20"/>
        </w:rPr>
      </w:pPr>
      <w:r w:rsidRPr="003D7A01">
        <w:rPr>
          <w:sz w:val="20"/>
        </w:rPr>
        <w:t xml:space="preserve">One of the small and medium enterprises (SMEs) in Bandar Lampung City engaged in tempeh production is Tempe Galang industry. This small business unit is located in </w:t>
      </w:r>
      <w:proofErr w:type="spellStart"/>
      <w:r w:rsidRPr="003D7A01">
        <w:rPr>
          <w:sz w:val="20"/>
        </w:rPr>
        <w:t>Gunung</w:t>
      </w:r>
      <w:proofErr w:type="spellEnd"/>
      <w:r w:rsidRPr="003D7A01">
        <w:rPr>
          <w:sz w:val="20"/>
        </w:rPr>
        <w:t xml:space="preserve"> </w:t>
      </w:r>
      <w:proofErr w:type="spellStart"/>
      <w:r w:rsidRPr="003D7A01">
        <w:rPr>
          <w:sz w:val="20"/>
        </w:rPr>
        <w:t>Sulah</w:t>
      </w:r>
      <w:proofErr w:type="spellEnd"/>
      <w:r w:rsidRPr="003D7A01">
        <w:rPr>
          <w:sz w:val="20"/>
        </w:rPr>
        <w:t xml:space="preserve"> Village, Way Halim District, and has been operating since 2018. Its production capacity reaches approximately 850 pieces of tempeh per day. All business activities in this SME are still carried out manually by labor, without the use of automated machinery, including the management of raw material requirements.</w:t>
      </w:r>
    </w:p>
    <w:p w14:paraId="794C3B51" w14:textId="3DF0D612" w:rsidR="00254DF6" w:rsidRPr="00F140C0" w:rsidRDefault="00254DF6" w:rsidP="00F140C0">
      <w:pPr>
        <w:pStyle w:val="BodyText"/>
        <w:spacing w:after="0" w:line="276" w:lineRule="auto"/>
        <w:ind w:firstLine="567"/>
        <w:rPr>
          <w:rStyle w:val="tlid-translation"/>
          <w:sz w:val="20"/>
        </w:rPr>
      </w:pPr>
      <w:r w:rsidRPr="00F140C0">
        <w:rPr>
          <w:rStyle w:val="tlid-translation"/>
          <w:sz w:val="20"/>
        </w:rPr>
        <w:lastRenderedPageBreak/>
        <w:t xml:space="preserve">Raw material inventory management plays a crucial role in maintaining the continuity of the production process. However, </w:t>
      </w:r>
      <w:r w:rsidRPr="00F140C0">
        <w:rPr>
          <w:sz w:val="20"/>
        </w:rPr>
        <w:t>the</w:t>
      </w:r>
      <w:r w:rsidRPr="00F140C0">
        <w:rPr>
          <w:rStyle w:val="tlid-translation"/>
          <w:sz w:val="20"/>
        </w:rPr>
        <w:t xml:space="preserve"> practice implemented at Tempe Galang industry is still limited to estimations based on demand history from the previous month. This condition has led to several issues, such as excess inventory </w:t>
      </w:r>
      <w:r w:rsidR="00DA772C" w:rsidRPr="00F140C0">
        <w:rPr>
          <w:rStyle w:val="tlid-translation"/>
          <w:sz w:val="20"/>
        </w:rPr>
        <w:t xml:space="preserve">or </w:t>
      </w:r>
      <w:r w:rsidRPr="00F140C0">
        <w:rPr>
          <w:rStyle w:val="tlid-translation"/>
          <w:sz w:val="20"/>
        </w:rPr>
        <w:t xml:space="preserve">overstock during the period of June–October 2024, caused by large-quantity purchasing policies triggered by concerns over rising soybean prices. Despite having a storage capacity of only 100 kg, the SME continued to purchase up to 1 ton in a single order, resulting in increased holding costs and a higher risk of raw material deterioration </w:t>
      </w:r>
      <w:sdt>
        <w:sdtPr>
          <w:rPr>
            <w:rStyle w:val="tlid-translation"/>
            <w:sz w:val="20"/>
          </w:rPr>
          <w:tag w:val="MENDELEY_CITATION_v3_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"/>
          <w:id w:val="-133571179"/>
          <w:placeholder>
            <w:docPart w:val="DefaultPlaceholder_-1854013440"/>
          </w:placeholder>
        </w:sdtPr>
        <w:sdtEndPr>
          <w:rPr>
            <w:rStyle w:val="DefaultParagraphFont"/>
          </w:rPr>
        </w:sdtEndPr>
        <w:sdtContent>
          <w:r w:rsidR="00CC1D18" w:rsidRPr="00F140C0">
            <w:rPr>
              <w:color w:val="000000"/>
              <w:sz w:val="20"/>
            </w:rPr>
            <w:t>[6]</w:t>
          </w:r>
        </w:sdtContent>
      </w:sdt>
      <w:r w:rsidRPr="00F140C0">
        <w:rPr>
          <w:rStyle w:val="tlid-translation"/>
          <w:sz w:val="20"/>
        </w:rPr>
        <w:t>.</w:t>
      </w:r>
    </w:p>
    <w:p w14:paraId="7C8C8FDA" w14:textId="74B18755" w:rsidR="00254DF6" w:rsidRPr="00F140C0" w:rsidRDefault="00254DF6" w:rsidP="00F140C0">
      <w:pPr>
        <w:pStyle w:val="BodyText"/>
        <w:spacing w:after="0" w:line="276" w:lineRule="auto"/>
        <w:ind w:firstLine="567"/>
        <w:rPr>
          <w:rStyle w:val="tlid-translation"/>
          <w:sz w:val="20"/>
        </w:rPr>
      </w:pPr>
      <w:r w:rsidRPr="00F140C0">
        <w:rPr>
          <w:rStyle w:val="tlid-translation"/>
          <w:sz w:val="20"/>
        </w:rPr>
        <w:t xml:space="preserve">In response to these problems, the inventory pattern was adjusted by placing smaller but more frequent orders, specifically 15 kg every ten days from November to December 2024. However, the SME ordered 1,000 kg of raw material in June 2024, despite average demand being only 45 kg per month. This resulted in an overstock of 955 kg in that month. The maximum shelf life of soybeans is 5 months under room temperature and dry conditions. With a 5-month shelf life, quality issues arise for the unused raw materials, as the demand over 5 months amounts to only 225 kg. This situation led to overstock raw material. The order quantity was further increased to 30–45 kg per day following expansion into three new markets in 2025. This situation made the </w:t>
      </w:r>
      <w:r w:rsidR="00E16CB6" w:rsidRPr="00F140C0">
        <w:rPr>
          <w:rStyle w:val="tlid-translation"/>
          <w:sz w:val="20"/>
        </w:rPr>
        <w:t>out stock</w:t>
      </w:r>
      <w:r w:rsidRPr="00F140C0">
        <w:rPr>
          <w:rStyle w:val="tlid-translation"/>
          <w:sz w:val="20"/>
        </w:rPr>
        <w:t xml:space="preserve"> raw material. Although this strategy supported increased production capacity, it also introduced new challenges, particularly stockouts due to delays in supplier distribution. This condition disrupted the production process, reduced consumer trust, and led to potential economic losses due to missed sales opportunities </w:t>
      </w:r>
      <w:sdt>
        <w:sdtPr>
          <w:rPr>
            <w:rStyle w:val="tlid-translation"/>
            <w:sz w:val="20"/>
          </w:rPr>
          <w:tag w:val="MENDELEY_CITATION_v3_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"/>
          <w:id w:val="85357044"/>
          <w:placeholder>
            <w:docPart w:val="DefaultPlaceholder_-1854013440"/>
          </w:placeholder>
        </w:sdtPr>
        <w:sdtEndPr>
          <w:rPr>
            <w:rStyle w:val="DefaultParagraphFont"/>
          </w:rPr>
        </w:sdtEndPr>
        <w:sdtContent>
          <w:r w:rsidR="00CC1D18" w:rsidRPr="00F140C0">
            <w:rPr>
              <w:color w:val="000000"/>
              <w:sz w:val="20"/>
            </w:rPr>
            <w:t>[7]</w:t>
          </w:r>
        </w:sdtContent>
      </w:sdt>
      <w:r w:rsidRPr="00F140C0">
        <w:rPr>
          <w:rStyle w:val="tlid-translation"/>
          <w:sz w:val="20"/>
        </w:rPr>
        <w:t>.</w:t>
      </w:r>
    </w:p>
    <w:p w14:paraId="3777A119" w14:textId="77777777" w:rsidR="00254DF6" w:rsidRPr="003D7A01" w:rsidRDefault="00254DF6" w:rsidP="0003786E">
      <w:pPr>
        <w:pStyle w:val="DaftarReferensi"/>
        <w:numPr>
          <w:ilvl w:val="0"/>
          <w:numId w:val="0"/>
        </w:numPr>
        <w:ind w:firstLine="426"/>
        <w:rPr>
          <w:rStyle w:val="tlid-translation"/>
          <w:rFonts w:cs="Times New Roman"/>
          <w:szCs w:val="20"/>
          <w:lang w:val="en-US"/>
        </w:rPr>
      </w:pPr>
    </w:p>
    <w:p w14:paraId="036BFC26" w14:textId="77777777" w:rsidR="00254DF6" w:rsidRPr="003D7A01" w:rsidRDefault="00254DF6" w:rsidP="0003786E">
      <w:pPr>
        <w:pStyle w:val="DaftarReferensi"/>
        <w:numPr>
          <w:ilvl w:val="0"/>
          <w:numId w:val="0"/>
        </w:numPr>
        <w:spacing w:line="276" w:lineRule="auto"/>
        <w:ind w:firstLine="426"/>
        <w:jc w:val="center"/>
        <w:rPr>
          <w:rStyle w:val="tlid-translation"/>
          <w:rFonts w:cs="Times New Roman"/>
          <w:szCs w:val="20"/>
          <w:lang w:val="en-US" w:eastAsia="en-ID"/>
        </w:rPr>
      </w:pPr>
      <w:r w:rsidRPr="003D7A01">
        <w:rPr>
          <w:rFonts w:cs="Times New Roman"/>
          <w:noProof/>
          <w:szCs w:val="20"/>
          <w:lang w:val="en-US" w:eastAsia="en-ID"/>
        </w:rPr>
        <mc:AlternateContent>
          <mc:Choice Requires="wps">
            <w:drawing>
              <wp:anchor distT="0" distB="0" distL="114300" distR="114300" simplePos="0" relativeHeight="251651072" behindDoc="0" locked="0" layoutInCell="1" allowOverlap="1" wp14:anchorId="5FFABB6E" wp14:editId="1AEEE78B">
                <wp:simplePos x="0" y="0"/>
                <wp:positionH relativeFrom="column">
                  <wp:posOffset>2682240</wp:posOffset>
                </wp:positionH>
                <wp:positionV relativeFrom="paragraph">
                  <wp:posOffset>1781810</wp:posOffset>
                </wp:positionV>
                <wp:extent cx="628650" cy="219075"/>
                <wp:effectExtent l="9525" t="12700" r="9525" b="6350"/>
                <wp:wrapNone/>
                <wp:docPr id="10910494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19075"/>
                        </a:xfrm>
                        <a:prstGeom prst="rect">
                          <a:avLst/>
                        </a:prstGeom>
                        <a:solidFill>
                          <a:srgbClr val="FFFFFF"/>
                        </a:solidFill>
                        <a:ln w="9525">
                          <a:solidFill>
                            <a:srgbClr val="FFFFFF"/>
                          </a:solidFill>
                          <a:miter lim="800000"/>
                          <a:headEnd/>
                          <a:tailEnd/>
                        </a:ln>
                      </wps:spPr>
                      <wps:txbx>
                        <w:txbxContent>
                          <w:p w14:paraId="4E12C7E4" w14:textId="77777777" w:rsidR="00254DF6" w:rsidRDefault="00254DF6" w:rsidP="0003786E">
                            <w:pPr>
                              <w:rPr>
                                <w:b/>
                                <w:bCs/>
                                <w:color w:val="7F7F7F"/>
                                <w:sz w:val="10"/>
                                <w:szCs w:val="10"/>
                              </w:rPr>
                            </w:pPr>
                            <w:r>
                              <w:rPr>
                                <w:b/>
                                <w:bCs/>
                                <w:color w:val="7F7F7F"/>
                                <w:sz w:val="16"/>
                                <w:szCs w:val="16"/>
                              </w:rPr>
                              <w:t>Month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ABB6E" id="Rectangle 18" o:spid="_x0000_s1026" style="position:absolute;left:0;text-align:left;margin-left:211.2pt;margin-top:140.3pt;width:49.5pt;height:17.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" strokecolor="white">
                <v:textbox>
                  <w:txbxContent>
                    <w:p w14:paraId="4E12C7E4" w14:textId="77777777" w:rsidR="00254DF6" w:rsidRDefault="00254DF6" w:rsidP="0003786E">
                      <w:pPr>
                        <w:rPr>
                          <w:b/>
                          <w:bCs/>
                          <w:color w:val="7F7F7F"/>
                          <w:sz w:val="10"/>
                          <w:szCs w:val="10"/>
                        </w:rPr>
                      </w:pPr>
                      <w:r>
                        <w:rPr>
                          <w:b/>
                          <w:bCs/>
                          <w:color w:val="7F7F7F"/>
                          <w:sz w:val="16"/>
                          <w:szCs w:val="16"/>
                        </w:rPr>
                        <w:t>Month</w:t>
                      </w:r>
                    </w:p>
                  </w:txbxContent>
                </v:textbox>
              </v:rect>
            </w:pict>
          </mc:Fallback>
        </mc:AlternateContent>
      </w:r>
      <w:r w:rsidRPr="003D7A01">
        <w:rPr>
          <w:rFonts w:cs="Times New Roman"/>
          <w:noProof/>
          <w:szCs w:val="20"/>
          <w:lang w:val="en-US" w:eastAsia="en-ID"/>
        </w:rPr>
        <w:drawing>
          <wp:inline distT="0" distB="0" distL="0" distR="0" wp14:anchorId="4F59DBBE" wp14:editId="454FF1BF">
            <wp:extent cx="3429000" cy="2057400"/>
            <wp:effectExtent l="0" t="0" r="0" b="0"/>
            <wp:docPr id="13142404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0" cy="2057400"/>
                    </a:xfrm>
                    <a:prstGeom prst="rect">
                      <a:avLst/>
                    </a:prstGeom>
                    <a:noFill/>
                    <a:ln>
                      <a:noFill/>
                    </a:ln>
                  </pic:spPr>
                </pic:pic>
              </a:graphicData>
            </a:graphic>
          </wp:inline>
        </w:drawing>
      </w:r>
    </w:p>
    <w:p w14:paraId="60B4FCE5" w14:textId="77777777" w:rsidR="00254DF6" w:rsidRPr="003D7A01" w:rsidRDefault="00254DF6" w:rsidP="0003786E">
      <w:pPr>
        <w:pStyle w:val="figurecaption"/>
        <w:rPr>
          <w:rFonts w:ascii="Times New Roman" w:eastAsia="MS Mincho" w:hAnsi="Times New Roman"/>
        </w:rPr>
      </w:pPr>
      <w:r w:rsidRPr="003D7A01">
        <w:rPr>
          <w:rFonts w:ascii="Times New Roman" w:eastAsia="MS Mincho" w:hAnsi="Times New Roman"/>
        </w:rPr>
        <w:t xml:space="preserve"> Raw Material Usage History</w:t>
      </w:r>
    </w:p>
    <w:p w14:paraId="0B624376" w14:textId="686ECE69" w:rsidR="00254DF6" w:rsidRPr="00F140C0" w:rsidRDefault="00254DF6" w:rsidP="00F140C0">
      <w:pPr>
        <w:pStyle w:val="BodyText"/>
        <w:spacing w:after="0" w:line="276" w:lineRule="auto"/>
        <w:ind w:firstLine="567"/>
        <w:rPr>
          <w:sz w:val="20"/>
        </w:rPr>
      </w:pPr>
      <w:r w:rsidRPr="00F140C0">
        <w:rPr>
          <w:sz w:val="20"/>
        </w:rPr>
        <w:t xml:space="preserve">Problems that frequently arise in business activities are closely related to supply chain management. The sustainability of a company’s operations is highly dependent on the supply chain performance. The operation of supply chain started from the availability of adequate inventory of raw material.  Raw materials are a primary component in the production process and must be consistently available to ensure the continuity of production activities </w:t>
      </w:r>
      <w:sdt>
        <w:sdtPr>
          <w:rPr>
            <w:sz w:val="20"/>
          </w:rPr>
          <w:tag w:val="MENDELEY_CITATION_v3_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"/>
          <w:id w:val="-345334511"/>
          <w:placeholder>
            <w:docPart w:val="DefaultPlaceholder_-1854013440"/>
          </w:placeholder>
        </w:sdtPr>
        <w:sdtContent>
          <w:r w:rsidR="00CC1D18" w:rsidRPr="00F140C0">
            <w:rPr>
              <w:color w:val="000000"/>
              <w:sz w:val="20"/>
            </w:rPr>
            <w:t>[8]</w:t>
          </w:r>
        </w:sdtContent>
      </w:sdt>
      <w:r w:rsidRPr="00F140C0">
        <w:rPr>
          <w:sz w:val="20"/>
        </w:rPr>
        <w:t xml:space="preserve">. Errors in inventory planning can directly affect a company’s profit levels; therefore, the achievement of </w:t>
      </w:r>
      <w:r w:rsidRPr="00F140C0">
        <w:rPr>
          <w:color w:val="000000"/>
          <w:sz w:val="20"/>
        </w:rPr>
        <w:t>business</w:t>
      </w:r>
      <w:r w:rsidRPr="00F140C0">
        <w:rPr>
          <w:sz w:val="20"/>
        </w:rPr>
        <w:t xml:space="preserve"> objectives is strongly influenced by the availability of raw materials </w:t>
      </w:r>
      <w:sdt>
        <w:sdtPr>
          <w:rPr>
            <w:sz w:val="20"/>
          </w:rPr>
          <w:tag w:val="MENDELEY_CITATION_v3_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"/>
          <w:id w:val="-1511059190"/>
          <w:placeholder>
            <w:docPart w:val="DefaultPlaceholder_-1854013440"/>
          </w:placeholder>
        </w:sdtPr>
        <w:sdtContent>
          <w:r w:rsidR="00CC1D18" w:rsidRPr="00F140C0">
            <w:rPr>
              <w:color w:val="000000"/>
              <w:sz w:val="20"/>
            </w:rPr>
            <w:t>[9]</w:t>
          </w:r>
        </w:sdtContent>
      </w:sdt>
      <w:r w:rsidRPr="00F140C0">
        <w:rPr>
          <w:sz w:val="20"/>
        </w:rPr>
        <w:t xml:space="preserve">. The inefficiencies in raw material management can potentially disrupt the smooth flow of business processes  </w:t>
      </w:r>
      <w:sdt>
        <w:sdtPr>
          <w:rPr>
            <w:sz w:val="20"/>
          </w:rPr>
          <w:tag w:val="MENDELEY_CITATION_v3_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"/>
          <w:id w:val="488602599"/>
          <w:placeholder>
            <w:docPart w:val="DefaultPlaceholder_-1854013440"/>
          </w:placeholder>
        </w:sdtPr>
        <w:sdtContent>
          <w:r w:rsidR="00CC1D18" w:rsidRPr="00F140C0">
            <w:rPr>
              <w:color w:val="000000"/>
              <w:sz w:val="20"/>
            </w:rPr>
            <w:t>[10]</w:t>
          </w:r>
        </w:sdtContent>
      </w:sdt>
      <w:r w:rsidRPr="00F140C0">
        <w:rPr>
          <w:sz w:val="20"/>
        </w:rPr>
        <w:t xml:space="preserve">. Supply chain efficiency is not only aimed at reducing production costs but also at supporting product price stability in the market. In addition, the implementation of quantity discounts offered by suppliers is an important consideration in the ordering process. Inventory management strategies that take advantage of quantity discounts can enhance the stability of raw material availability, reduce ordering frequency, and lower holding costs as well as the risk of material deterioration </w:t>
      </w:r>
      <w:sdt>
        <w:sdtPr>
          <w:rPr>
            <w:sz w:val="20"/>
          </w:rPr>
          <w:tag w:val="MENDELEY_CITATION_v3_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"/>
          <w:id w:val="-1261528081"/>
          <w:placeholder>
            <w:docPart w:val="DefaultPlaceholder_-1854013440"/>
          </w:placeholder>
        </w:sdtPr>
        <w:sdtContent>
          <w:r w:rsidR="00CC1D18" w:rsidRPr="00F140C0">
            <w:rPr>
              <w:color w:val="000000"/>
              <w:sz w:val="20"/>
            </w:rPr>
            <w:t>[11]</w:t>
          </w:r>
        </w:sdtContent>
      </w:sdt>
      <w:r w:rsidRPr="00F140C0">
        <w:rPr>
          <w:sz w:val="20"/>
        </w:rPr>
        <w:t>.</w:t>
      </w:r>
    </w:p>
    <w:p w14:paraId="53C2C16F" w14:textId="0F2E7731" w:rsidR="00254DF6" w:rsidRPr="00F140C0" w:rsidRDefault="00254DF6" w:rsidP="00F140C0">
      <w:pPr>
        <w:pStyle w:val="BodyText"/>
        <w:spacing w:after="0" w:line="276" w:lineRule="auto"/>
        <w:ind w:firstLine="567"/>
        <w:rPr>
          <w:sz w:val="20"/>
        </w:rPr>
      </w:pPr>
      <w:r w:rsidRPr="00F140C0">
        <w:rPr>
          <w:sz w:val="20"/>
        </w:rPr>
        <w:t xml:space="preserve">The approach used to control raw material inventory is the Economic Order Quantity (EOQ) model. EOQ is a structured method for optimizing order quantities. The objective of this method is to ensure the availability of raw materials so that the production process is not disrupted by shortages or excess inventory. EOQ has been proven effective in reducing holding costs, optimizing warehouse space utilization, and minimizing the risk of overstock </w:t>
      </w:r>
      <w:sdt>
        <w:sdtPr>
          <w:rPr>
            <w:sz w:val="20"/>
          </w:rPr>
          <w:tag w:val="MENDELEY_CITATION_v3_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"/>
          <w:id w:val="786472557"/>
          <w:placeholder>
            <w:docPart w:val="72E6B8F0551C448F91EE61763454DDD1"/>
          </w:placeholder>
        </w:sdtPr>
        <w:sdtContent>
          <w:r w:rsidR="00CC1D18" w:rsidRPr="00F140C0">
            <w:rPr>
              <w:color w:val="000000"/>
              <w:sz w:val="20"/>
            </w:rPr>
            <w:t>[12]</w:t>
          </w:r>
        </w:sdtContent>
      </w:sdt>
      <w:r w:rsidR="0074751F" w:rsidRPr="00F140C0">
        <w:rPr>
          <w:sz w:val="20"/>
        </w:rPr>
        <w:t>.</w:t>
      </w:r>
      <w:r w:rsidRPr="00F140C0">
        <w:rPr>
          <w:sz w:val="20"/>
        </w:rPr>
        <w:t xml:space="preserve"> One variation of the EOQ method incorporates quantity discounts, a common business practice that provides incentives for companies making large-volume purchases</w:t>
      </w:r>
      <w:sdt>
        <w:sdtPr>
          <w:rPr>
            <w:sz w:val="20"/>
          </w:rPr>
          <w:tag w:val="MENDELEY_CITATION_v3_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"/>
          <w:id w:val="-2079888179"/>
          <w:placeholder>
            <w:docPart w:val="72E6B8F0551C448F91EE61763454DDD1"/>
          </w:placeholder>
        </w:sdtPr>
        <w:sdtContent>
          <w:r w:rsidR="00CC1D18" w:rsidRPr="00F140C0">
            <w:rPr>
              <w:color w:val="000000"/>
              <w:sz w:val="20"/>
            </w:rPr>
            <w:t>[13]</w:t>
          </w:r>
        </w:sdtContent>
      </w:sdt>
      <w:r w:rsidR="0074751F" w:rsidRPr="00F140C0">
        <w:rPr>
          <w:sz w:val="20"/>
        </w:rPr>
        <w:t xml:space="preserve">. </w:t>
      </w:r>
      <w:r w:rsidRPr="00F140C0">
        <w:rPr>
          <w:sz w:val="20"/>
        </w:rPr>
        <w:t xml:space="preserve">EOQ is relevant for raw material inventory control because it can determine the optimal order quantity in terms of both quality and quantity </w:t>
      </w:r>
      <w:sdt>
        <w:sdtPr>
          <w:rPr>
            <w:sz w:val="20"/>
          </w:rPr>
          <w:tag w:val="MENDELEY_CITATION_v3_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"/>
          <w:id w:val="1934169909"/>
          <w:placeholder>
            <w:docPart w:val="DefaultPlaceholder_-1854013440"/>
          </w:placeholder>
        </w:sdtPr>
        <w:sdtContent>
          <w:r w:rsidR="00CC1D18" w:rsidRPr="00F140C0">
            <w:rPr>
              <w:color w:val="000000"/>
              <w:sz w:val="20"/>
            </w:rPr>
            <w:t>[14]</w:t>
          </w:r>
        </w:sdtContent>
      </w:sdt>
      <w:r w:rsidRPr="00F140C0">
        <w:rPr>
          <w:sz w:val="20"/>
        </w:rPr>
        <w:t xml:space="preserve">. However, the EOQ method has certain limitations, including its inability to directly calculate safety stock requirements or determine the reorder point needed to prevent supply delays that may lead to stockouts </w:t>
      </w:r>
      <w:sdt>
        <w:sdtPr>
          <w:rPr>
            <w:sz w:val="20"/>
          </w:rPr>
          <w:tag w:val="MENDELEY_CITATION_v3_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"/>
          <w:id w:val="1181629842"/>
          <w:placeholder>
            <w:docPart w:val="DefaultPlaceholder_-1854013440"/>
          </w:placeholder>
        </w:sdtPr>
        <w:sdtContent>
          <w:r w:rsidR="00CC1D18" w:rsidRPr="00F140C0">
            <w:rPr>
              <w:color w:val="000000"/>
              <w:sz w:val="20"/>
            </w:rPr>
            <w:t>[15]</w:t>
          </w:r>
        </w:sdtContent>
      </w:sdt>
      <w:r w:rsidRPr="00F140C0">
        <w:rPr>
          <w:sz w:val="20"/>
        </w:rPr>
        <w:t>.</w:t>
      </w:r>
    </w:p>
    <w:p w14:paraId="7183A8AC" w14:textId="77777777" w:rsidR="00254DF6" w:rsidRPr="00F140C0" w:rsidRDefault="00254DF6" w:rsidP="00F140C0">
      <w:pPr>
        <w:pStyle w:val="BodyText"/>
        <w:spacing w:after="0" w:line="276" w:lineRule="auto"/>
        <w:ind w:firstLine="567"/>
        <w:rPr>
          <w:sz w:val="20"/>
        </w:rPr>
      </w:pPr>
      <w:r w:rsidRPr="00F140C0">
        <w:rPr>
          <w:sz w:val="20"/>
        </w:rPr>
        <w:t>The research gap is how to design an inventory control system specifically for SMEs using the integration of EOQ with a monitoring dashboard. Current studies do not possess an inventory planning model specifically for the SME scale that can provide planning accuracy based on decisions regarding the quantity of demand data from the implementation of the EOQ framework. Furthermore, the issue of how to utilize discount factors in raw material purchasing to reduce holding costs still requires further observation.</w:t>
      </w:r>
    </w:p>
    <w:p w14:paraId="62EAB728" w14:textId="22B4A54B" w:rsidR="00254DF6" w:rsidRPr="00F140C0" w:rsidRDefault="00254DF6" w:rsidP="00F140C0">
      <w:pPr>
        <w:pStyle w:val="BodyText"/>
        <w:spacing w:after="0" w:line="276" w:lineRule="auto"/>
        <w:ind w:firstLine="567"/>
        <w:rPr>
          <w:sz w:val="20"/>
        </w:rPr>
      </w:pPr>
      <w:r w:rsidRPr="00F140C0">
        <w:rPr>
          <w:sz w:val="20"/>
        </w:rPr>
        <w:t>This study aims to design an inventory control system to prevent both overstock and stockout conditions. The research gap addressed in this article lies in the planning of soybean raw material inventory using the Economic Order Quantity (EOQ) method that incorporates quantity discounts. In addition, this study focuses on determining safety stock to anticipate inventory shortages, establishing the reorder point (ROP) to identify the optimal timing for replenishment, and calculating the optimal total inventory cost.</w:t>
      </w:r>
      <w:r w:rsidR="00CC1D18" w:rsidRPr="00F140C0">
        <w:rPr>
          <w:sz w:val="20"/>
        </w:rPr>
        <w:t xml:space="preserve"> EOQ provides a baseline order quantity that minimizes the total cost of ordering and holding inventory. Even when demand fluctuates, EOQ serves as a reference point for determining reorder points and safety stock. EOQ can be extended to handle uncertainty through safety stock and reorder point (ROP) adjustment </w:t>
      </w:r>
      <w:sdt>
        <w:sdtPr>
          <w:rPr>
            <w:sz w:val="20"/>
          </w:rPr>
          <w:tag w:val="MENDELEY_CITATION_v3_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"/>
          <w:id w:val="460547148"/>
          <w:placeholder>
            <w:docPart w:val="DefaultPlaceholder_-1854013440"/>
          </w:placeholder>
        </w:sdtPr>
        <w:sdtContent>
          <w:r w:rsidR="00CC1D18" w:rsidRPr="00F140C0">
            <w:rPr>
              <w:color w:val="000000"/>
              <w:sz w:val="20"/>
            </w:rPr>
            <w:t>[16]</w:t>
          </w:r>
        </w:sdtContent>
      </w:sdt>
      <w:r w:rsidR="00CC1D18" w:rsidRPr="00F140C0">
        <w:rPr>
          <w:sz w:val="20"/>
        </w:rPr>
        <w:t xml:space="preserve"> .</w:t>
      </w:r>
      <w:r w:rsidRPr="00F140C0">
        <w:rPr>
          <w:sz w:val="20"/>
        </w:rPr>
        <w:t xml:space="preserve"> A semi-digital inventory system is designed to assist tempeh SME actors in planning the quantity of raw material purchases to cope with fluctuating demand.</w:t>
      </w:r>
    </w:p>
    <w:p w14:paraId="6181704A" w14:textId="77777777" w:rsidR="00254DF6" w:rsidRPr="003D7A01" w:rsidRDefault="00254DF6" w:rsidP="0003786E">
      <w:pPr>
        <w:pStyle w:val="Body"/>
        <w:ind w:firstLine="720"/>
        <w:rPr>
          <w:szCs w:val="18"/>
        </w:rPr>
      </w:pPr>
      <w:r w:rsidRPr="003D7A01">
        <w:rPr>
          <w:szCs w:val="18"/>
        </w:rPr>
        <w:t xml:space="preserve"> </w:t>
      </w:r>
    </w:p>
    <w:p w14:paraId="3DBDC344" w14:textId="77777777" w:rsidR="00254DF6" w:rsidRPr="00E16CB6" w:rsidRDefault="00254DF6" w:rsidP="00360F95">
      <w:pPr>
        <w:pStyle w:val="Heading1"/>
        <w:numPr>
          <w:ilvl w:val="0"/>
          <w:numId w:val="1"/>
        </w:numPr>
        <w:tabs>
          <w:tab w:val="left" w:pos="284"/>
        </w:tabs>
        <w:spacing w:before="120" w:after="0" w:line="240" w:lineRule="auto"/>
        <w:ind w:left="0" w:firstLine="0"/>
        <w:rPr>
          <w:rFonts w:ascii="Times New Roman" w:hAnsi="Times New Roman" w:cs="Times New Roman"/>
          <w:b/>
          <w:bCs/>
          <w:color w:val="000000" w:themeColor="text1"/>
          <w:sz w:val="22"/>
          <w:szCs w:val="22"/>
        </w:rPr>
      </w:pPr>
      <w:r w:rsidRPr="00E16CB6">
        <w:rPr>
          <w:rFonts w:ascii="Times New Roman" w:hAnsi="Times New Roman" w:cs="Times New Roman"/>
          <w:b/>
          <w:bCs/>
          <w:color w:val="000000" w:themeColor="text1"/>
          <w:sz w:val="22"/>
          <w:szCs w:val="22"/>
        </w:rPr>
        <w:t xml:space="preserve">Method </w:t>
      </w:r>
    </w:p>
    <w:p w14:paraId="33F8CF43" w14:textId="77777777" w:rsidR="00254DF6" w:rsidRPr="003D7A01" w:rsidRDefault="00254DF6" w:rsidP="00F140C0">
      <w:pPr>
        <w:pStyle w:val="BodyText"/>
        <w:spacing w:after="0" w:line="276" w:lineRule="auto"/>
        <w:ind w:firstLine="567"/>
        <w:rPr>
          <w:sz w:val="20"/>
        </w:rPr>
      </w:pPr>
      <w:r w:rsidRPr="003D7A01">
        <w:rPr>
          <w:sz w:val="20"/>
        </w:rPr>
        <w:t xml:space="preserve">This study was conducted at Tempe Galang industry, located in </w:t>
      </w:r>
      <w:proofErr w:type="spellStart"/>
      <w:r w:rsidRPr="003D7A01">
        <w:rPr>
          <w:sz w:val="20"/>
        </w:rPr>
        <w:t>Gunung</w:t>
      </w:r>
      <w:proofErr w:type="spellEnd"/>
      <w:r w:rsidRPr="003D7A01">
        <w:rPr>
          <w:sz w:val="20"/>
        </w:rPr>
        <w:t xml:space="preserve"> </w:t>
      </w:r>
      <w:proofErr w:type="spellStart"/>
      <w:r w:rsidRPr="003D7A01">
        <w:rPr>
          <w:sz w:val="20"/>
        </w:rPr>
        <w:t>Sulah</w:t>
      </w:r>
      <w:proofErr w:type="spellEnd"/>
      <w:r w:rsidRPr="003D7A01">
        <w:rPr>
          <w:sz w:val="20"/>
        </w:rPr>
        <w:t xml:space="preserve"> Village, Way Halim District, Bandar Lampung City. The research employed a combination of qualitative and quantitative approaches. The </w:t>
      </w:r>
      <w:r w:rsidRPr="00F140C0">
        <w:rPr>
          <w:color w:val="000000"/>
          <w:sz w:val="20"/>
          <w:szCs w:val="18"/>
        </w:rPr>
        <w:t>qualitative</w:t>
      </w:r>
      <w:r w:rsidRPr="003D7A01">
        <w:rPr>
          <w:sz w:val="20"/>
        </w:rPr>
        <w:t xml:space="preserve"> approach was used to obtain data through interviews with the business owner and direct observation at the </w:t>
      </w:r>
      <w:r w:rsidRPr="00F140C0">
        <w:rPr>
          <w:color w:val="000000"/>
          <w:sz w:val="20"/>
          <w:szCs w:val="18"/>
        </w:rPr>
        <w:t>production</w:t>
      </w:r>
      <w:r w:rsidRPr="003D7A01">
        <w:rPr>
          <w:sz w:val="20"/>
        </w:rPr>
        <w:t xml:space="preserve"> site, while the quantitative approach involved data processing and analysis. The data collected included raw material requirements, ordering costs, holding costs, and production lead time. Observations were carried out in the production area to gain an understanding of the ongoing operational processes, including inventory management practices and the actual conditions within the SME. The qualitative data support the quantitative data to explained the data pattern exist. Qualitative data is used to determine the SME's capacity to implement EOQ and the extent to which technology transfer can be implemented for the SME's raw material requirement planning. The research was conducted through several stages, namely problem identification, data collection, data processing, results and discussion, as well as conclusions and recommendations (Fig. 2).</w:t>
      </w:r>
    </w:p>
    <w:p w14:paraId="6B3402B9" w14:textId="77777777" w:rsidR="00254DF6" w:rsidRPr="003D7A01" w:rsidRDefault="00254DF6" w:rsidP="0003786E">
      <w:pPr>
        <w:spacing w:after="0" w:line="276" w:lineRule="auto"/>
        <w:jc w:val="both"/>
        <w:rPr>
          <w:rFonts w:ascii="Times New Roman" w:hAnsi="Times New Roman"/>
          <w:sz w:val="20"/>
          <w:szCs w:val="20"/>
        </w:rPr>
      </w:pPr>
    </w:p>
    <w:p w14:paraId="455954B0" w14:textId="77777777" w:rsidR="00254DF6" w:rsidRPr="003D7A01" w:rsidRDefault="00254DF6" w:rsidP="0003786E">
      <w:pPr>
        <w:spacing w:after="0" w:line="276" w:lineRule="auto"/>
        <w:jc w:val="both"/>
        <w:rPr>
          <w:rFonts w:ascii="Times New Roman" w:hAnsi="Times New Roman"/>
          <w:b/>
          <w:bCs/>
          <w:sz w:val="20"/>
          <w:szCs w:val="20"/>
        </w:rPr>
      </w:pPr>
      <w:r w:rsidRPr="003D7A01">
        <w:rPr>
          <w:rFonts w:ascii="Times New Roman" w:hAnsi="Times New Roman"/>
          <w:b/>
          <w:bCs/>
          <w:sz w:val="20"/>
          <w:szCs w:val="20"/>
        </w:rPr>
        <w:t xml:space="preserve">2.1 Problem Identification </w:t>
      </w:r>
    </w:p>
    <w:p w14:paraId="0F12C9EB" w14:textId="77777777" w:rsidR="00254DF6" w:rsidRPr="003D7A01" w:rsidRDefault="00254DF6" w:rsidP="00F140C0">
      <w:pPr>
        <w:pStyle w:val="BodyText"/>
        <w:spacing w:after="0" w:line="276" w:lineRule="auto"/>
        <w:ind w:firstLine="567"/>
        <w:rPr>
          <w:sz w:val="20"/>
        </w:rPr>
      </w:pPr>
      <w:r w:rsidRPr="003D7A01">
        <w:rPr>
          <w:sz w:val="20"/>
        </w:rPr>
        <w:t>The process of identifying the main problems in the object of study was carried out through preliminary interviews and a literature review. This stage serves as the foundation for designing an inventory control system tailored to the company’s conditions and constraints.</w:t>
      </w:r>
    </w:p>
    <w:p w14:paraId="5ED8F803" w14:textId="77777777" w:rsidR="00254DF6" w:rsidRPr="003D7A01" w:rsidRDefault="00254DF6" w:rsidP="0003786E">
      <w:pPr>
        <w:spacing w:after="0" w:line="276" w:lineRule="auto"/>
        <w:ind w:firstLine="567"/>
        <w:jc w:val="both"/>
        <w:rPr>
          <w:rFonts w:ascii="Times New Roman" w:hAnsi="Times New Roman"/>
          <w:sz w:val="20"/>
          <w:szCs w:val="20"/>
        </w:rPr>
      </w:pPr>
    </w:p>
    <w:p w14:paraId="44AF7B68" w14:textId="77777777" w:rsidR="00254DF6" w:rsidRPr="003D7A01" w:rsidRDefault="00254DF6" w:rsidP="0003786E">
      <w:pPr>
        <w:spacing w:after="0" w:line="276" w:lineRule="auto"/>
        <w:jc w:val="both"/>
        <w:rPr>
          <w:rFonts w:ascii="Times New Roman" w:hAnsi="Times New Roman"/>
          <w:b/>
          <w:bCs/>
          <w:sz w:val="20"/>
          <w:szCs w:val="20"/>
        </w:rPr>
      </w:pPr>
      <w:r w:rsidRPr="003D7A01">
        <w:rPr>
          <w:rFonts w:ascii="Times New Roman" w:hAnsi="Times New Roman"/>
          <w:b/>
          <w:bCs/>
          <w:sz w:val="20"/>
          <w:szCs w:val="20"/>
        </w:rPr>
        <w:t xml:space="preserve">2.2 Data Collection Techniques </w:t>
      </w:r>
    </w:p>
    <w:p w14:paraId="1B1E2956" w14:textId="77777777" w:rsidR="00254DF6" w:rsidRPr="003D7A01" w:rsidRDefault="00254DF6" w:rsidP="00F140C0">
      <w:pPr>
        <w:pStyle w:val="BodyText"/>
        <w:spacing w:after="0" w:line="276" w:lineRule="auto"/>
        <w:ind w:firstLine="567"/>
        <w:rPr>
          <w:sz w:val="20"/>
        </w:rPr>
      </w:pPr>
      <w:r w:rsidRPr="003D7A01">
        <w:rPr>
          <w:sz w:val="20"/>
        </w:rPr>
        <w:t>The research data were obtained from two types of sources, namely primary and secondary data. Primary data were collected through interviews, while secondary data were used to obtain supporting information from relevant literature studies.</w:t>
      </w:r>
    </w:p>
    <w:p w14:paraId="6F2498F0" w14:textId="77777777" w:rsidR="00254DF6" w:rsidRPr="003D7A01" w:rsidRDefault="00254DF6" w:rsidP="0003786E">
      <w:pPr>
        <w:spacing w:after="0" w:line="276" w:lineRule="auto"/>
        <w:ind w:firstLine="567"/>
        <w:jc w:val="both"/>
        <w:rPr>
          <w:rFonts w:ascii="Times New Roman" w:hAnsi="Times New Roman"/>
          <w:sz w:val="20"/>
          <w:szCs w:val="20"/>
        </w:rPr>
      </w:pPr>
    </w:p>
    <w:p w14:paraId="6A0C2114" w14:textId="77777777" w:rsidR="00254DF6" w:rsidRPr="003D7A01" w:rsidRDefault="00254DF6" w:rsidP="0003786E">
      <w:pPr>
        <w:spacing w:after="0" w:line="276" w:lineRule="auto"/>
        <w:jc w:val="both"/>
        <w:rPr>
          <w:rFonts w:ascii="Times New Roman" w:hAnsi="Times New Roman"/>
          <w:b/>
          <w:bCs/>
          <w:sz w:val="20"/>
          <w:szCs w:val="20"/>
        </w:rPr>
      </w:pPr>
      <w:r w:rsidRPr="003D7A01">
        <w:rPr>
          <w:rFonts w:ascii="Times New Roman" w:hAnsi="Times New Roman"/>
          <w:b/>
          <w:bCs/>
          <w:sz w:val="20"/>
          <w:szCs w:val="20"/>
        </w:rPr>
        <w:t>2.3 Data Processing Techniques</w:t>
      </w:r>
    </w:p>
    <w:p w14:paraId="6E5DD9B3" w14:textId="77777777" w:rsidR="00254DF6" w:rsidRPr="003D7A01" w:rsidRDefault="00254DF6" w:rsidP="00F140C0">
      <w:pPr>
        <w:pStyle w:val="BodyText"/>
        <w:spacing w:after="0" w:line="276" w:lineRule="auto"/>
        <w:ind w:firstLine="567"/>
        <w:rPr>
          <w:sz w:val="20"/>
        </w:rPr>
      </w:pPr>
      <w:r w:rsidRPr="003D7A01">
        <w:rPr>
          <w:sz w:val="20"/>
        </w:rPr>
        <w:t>The data were processed using several quantitative approaches, including the calculation of EOQ, ordering frequency, safety stock, reorder point, and total inventory cost. The methods used in this study include:</w:t>
      </w:r>
    </w:p>
    <w:p w14:paraId="21759546" w14:textId="326CC2EA" w:rsidR="00254DF6" w:rsidRPr="003D7A01" w:rsidRDefault="00254DF6" w:rsidP="00F140C0">
      <w:pPr>
        <w:numPr>
          <w:ilvl w:val="0"/>
          <w:numId w:val="12"/>
        </w:numPr>
        <w:spacing w:after="0" w:line="276" w:lineRule="auto"/>
        <w:ind w:left="426" w:hanging="414"/>
        <w:jc w:val="both"/>
        <w:rPr>
          <w:rFonts w:ascii="Times New Roman" w:hAnsi="Times New Roman"/>
          <w:sz w:val="20"/>
          <w:szCs w:val="20"/>
        </w:rPr>
      </w:pPr>
      <w:r w:rsidRPr="003D7A01">
        <w:rPr>
          <w:rStyle w:val="Strong"/>
          <w:rFonts w:ascii="Times New Roman" w:hAnsi="Times New Roman"/>
          <w:b w:val="0"/>
          <w:bCs w:val="0"/>
          <w:sz w:val="20"/>
          <w:szCs w:val="20"/>
        </w:rPr>
        <w:t>Economic Order Quantity (EOQ).</w:t>
      </w:r>
      <w:r w:rsidRPr="003D7A01">
        <w:rPr>
          <w:rFonts w:ascii="Times New Roman" w:hAnsi="Times New Roman"/>
          <w:sz w:val="20"/>
          <w:szCs w:val="20"/>
        </w:rPr>
        <w:t xml:space="preserve"> EOQ represents the most efficient quantity of inventory to be purchased each time a company places an order</w:t>
      </w:r>
      <w:r w:rsidR="0074751F" w:rsidRPr="003D7A01">
        <w:rPr>
          <w:rFonts w:ascii="Times New Roman" w:hAnsi="Times New Roman"/>
          <w:sz w:val="20"/>
          <w:szCs w:val="20"/>
        </w:rPr>
        <w:t xml:space="preserve"> </w:t>
      </w:r>
      <w:sdt>
        <w:sdtPr>
          <w:rPr>
            <w:rFonts w:ascii="Times New Roman" w:hAnsi="Times New Roman"/>
            <w:sz w:val="20"/>
            <w:szCs w:val="20"/>
          </w:rPr>
          <w:tag w:val="MENDELEY_CITATION_v3_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"/>
          <w:id w:val="-1543903300"/>
          <w:placeholder>
            <w:docPart w:val="DefaultPlaceholder_-1854013440"/>
          </w:placeholder>
        </w:sdtPr>
        <w:sdtContent>
          <w:r w:rsidR="00CC1D18" w:rsidRPr="003D7A01">
            <w:rPr>
              <w:rFonts w:ascii="Times New Roman" w:hAnsi="Times New Roman"/>
              <w:color w:val="000000"/>
              <w:sz w:val="20"/>
              <w:szCs w:val="20"/>
            </w:rPr>
            <w:t>[17]</w:t>
          </w:r>
        </w:sdtContent>
      </w:sdt>
      <w:r w:rsidR="0074751F" w:rsidRPr="003D7A01">
        <w:rPr>
          <w:rFonts w:ascii="Times New Roman" w:hAnsi="Times New Roman"/>
          <w:sz w:val="20"/>
          <w:szCs w:val="20"/>
        </w:rPr>
        <w:t xml:space="preserve">. </w:t>
      </w:r>
      <w:r w:rsidRPr="003D7A01">
        <w:rPr>
          <w:rFonts w:ascii="Times New Roman" w:hAnsi="Times New Roman"/>
          <w:sz w:val="20"/>
          <w:szCs w:val="20"/>
        </w:rPr>
        <w:t xml:space="preserve">The formula for the basic EOQ model is expressed as follows (Jacoby, 2009). The variable </w:t>
      </w:r>
      <w:r w:rsidRPr="003D7A01">
        <w:rPr>
          <w:rStyle w:val="Emphasis"/>
          <w:rFonts w:ascii="Times New Roman" w:hAnsi="Times New Roman"/>
          <w:sz w:val="20"/>
          <w:szCs w:val="20"/>
        </w:rPr>
        <w:t>D</w:t>
      </w:r>
      <w:r w:rsidRPr="003D7A01">
        <w:rPr>
          <w:rFonts w:ascii="Times New Roman" w:hAnsi="Times New Roman"/>
          <w:sz w:val="20"/>
          <w:szCs w:val="20"/>
        </w:rPr>
        <w:t xml:space="preserve"> denotes the demand for tempeh, </w:t>
      </w:r>
      <w:r w:rsidRPr="003D7A01">
        <w:rPr>
          <w:rStyle w:val="Emphasis"/>
          <w:rFonts w:ascii="Times New Roman" w:hAnsi="Times New Roman"/>
          <w:sz w:val="20"/>
          <w:szCs w:val="20"/>
        </w:rPr>
        <w:t>S</w:t>
      </w:r>
      <w:r w:rsidRPr="003D7A01">
        <w:rPr>
          <w:rFonts w:ascii="Times New Roman" w:hAnsi="Times New Roman"/>
          <w:sz w:val="20"/>
          <w:szCs w:val="20"/>
        </w:rPr>
        <w:t xml:space="preserve"> represents the ordering cost, and </w:t>
      </w:r>
      <w:r w:rsidRPr="003D7A01">
        <w:rPr>
          <w:rStyle w:val="Emphasis"/>
          <w:rFonts w:ascii="Times New Roman" w:hAnsi="Times New Roman"/>
          <w:sz w:val="20"/>
          <w:szCs w:val="20"/>
        </w:rPr>
        <w:t>H</w:t>
      </w:r>
      <w:r w:rsidRPr="003D7A01">
        <w:rPr>
          <w:rFonts w:ascii="Times New Roman" w:hAnsi="Times New Roman"/>
          <w:sz w:val="20"/>
          <w:szCs w:val="20"/>
        </w:rPr>
        <w:t xml:space="preserve"> indicates the inventory holding cost. </w:t>
      </w:r>
    </w:p>
    <w:tbl>
      <w:tblPr>
        <w:tblW w:w="0" w:type="auto"/>
        <w:tblLook w:val="0000" w:firstRow="0" w:lastRow="0" w:firstColumn="0" w:lastColumn="0" w:noHBand="0" w:noVBand="0"/>
      </w:tblPr>
      <w:tblGrid>
        <w:gridCol w:w="8093"/>
        <w:gridCol w:w="694"/>
      </w:tblGrid>
      <w:tr w:rsidR="00254DF6" w:rsidRPr="003D7A01" w14:paraId="6E962BEA" w14:textId="77777777" w:rsidTr="00E21C70">
        <w:tc>
          <w:tcPr>
            <w:tcW w:w="8838" w:type="dxa"/>
            <w:vAlign w:val="center"/>
          </w:tcPr>
          <w:p w14:paraId="36EC71FA" w14:textId="59A1B0A1" w:rsidR="00254DF6" w:rsidRPr="003D7A01" w:rsidRDefault="00254DF6" w:rsidP="00E21C70">
            <w:pPr>
              <w:spacing w:line="360" w:lineRule="auto"/>
              <w:jc w:val="center"/>
              <w:rPr>
                <w:rFonts w:ascii="Times New Roman" w:hAnsi="Times New Roman"/>
                <w:color w:val="000000"/>
                <w:sz w:val="20"/>
                <w:szCs w:val="20"/>
              </w:rPr>
            </w:pPr>
            <m:oMathPara>
              <m:oMath>
                <m:r>
                  <w:rPr>
                    <w:rFonts w:ascii="Cambria Math" w:hAnsi="Cambria Math"/>
                    <w:color w:val="000000"/>
                    <w:sz w:val="20"/>
                    <w:szCs w:val="20"/>
                  </w:rPr>
                  <m:t xml:space="preserve">Q* = </m:t>
                </m:r>
                <m:rad>
                  <m:radPr>
                    <m:degHide m:val="1"/>
                    <m:ctrlPr>
                      <w:rPr>
                        <w:rFonts w:ascii="Cambria Math" w:hAnsi="Cambria Math"/>
                        <w:i/>
                        <w:color w:val="000000"/>
                        <w:sz w:val="20"/>
                        <w:szCs w:val="20"/>
                      </w:rPr>
                    </m:ctrlPr>
                  </m:radPr>
                  <m:deg/>
                  <m:e>
                    <m:f>
                      <m:fPr>
                        <m:ctrlPr>
                          <w:rPr>
                            <w:rFonts w:ascii="Cambria Math" w:hAnsi="Cambria Math"/>
                            <w:i/>
                            <w:color w:val="000000"/>
                            <w:sz w:val="20"/>
                            <w:szCs w:val="20"/>
                          </w:rPr>
                        </m:ctrlPr>
                      </m:fPr>
                      <m:num>
                        <m:r>
                          <w:rPr>
                            <w:rFonts w:ascii="Cambria Math" w:hAnsi="Cambria Math"/>
                            <w:color w:val="000000"/>
                            <w:sz w:val="20"/>
                            <w:szCs w:val="20"/>
                          </w:rPr>
                          <m:t>2DS</m:t>
                        </m:r>
                      </m:num>
                      <m:den>
                        <m:r>
                          <w:rPr>
                            <w:rFonts w:ascii="Cambria Math" w:hAnsi="Cambria Math"/>
                            <w:color w:val="000000"/>
                            <w:sz w:val="20"/>
                            <w:szCs w:val="20"/>
                          </w:rPr>
                          <m:t>H</m:t>
                        </m:r>
                      </m:den>
                    </m:f>
                  </m:e>
                </m:rad>
              </m:oMath>
            </m:oMathPara>
          </w:p>
        </w:tc>
        <w:tc>
          <w:tcPr>
            <w:tcW w:w="720" w:type="dxa"/>
          </w:tcPr>
          <w:p w14:paraId="27DD4B9A" w14:textId="77777777" w:rsidR="00254DF6" w:rsidRPr="003D7A01" w:rsidRDefault="00254DF6" w:rsidP="00E21C70">
            <w:pPr>
              <w:spacing w:line="360" w:lineRule="auto"/>
              <w:jc w:val="center"/>
              <w:rPr>
                <w:rFonts w:ascii="Times New Roman" w:hAnsi="Times New Roman"/>
                <w:color w:val="000000"/>
                <w:sz w:val="20"/>
                <w:szCs w:val="20"/>
              </w:rPr>
            </w:pPr>
          </w:p>
          <w:p w14:paraId="6FAA2D3B" w14:textId="77777777" w:rsidR="00254DF6" w:rsidRPr="003D7A01" w:rsidRDefault="00254DF6" w:rsidP="00E21C70">
            <w:pPr>
              <w:jc w:val="center"/>
              <w:rPr>
                <w:rFonts w:ascii="Times New Roman" w:hAnsi="Times New Roman"/>
                <w:sz w:val="20"/>
                <w:szCs w:val="20"/>
              </w:rPr>
            </w:pPr>
            <w:r w:rsidRPr="003D7A01">
              <w:rPr>
                <w:rFonts w:ascii="Times New Roman" w:hAnsi="Times New Roman"/>
                <w:sz w:val="20"/>
                <w:szCs w:val="20"/>
              </w:rPr>
              <w:t>(1)</w:t>
            </w:r>
          </w:p>
        </w:tc>
      </w:tr>
    </w:tbl>
    <w:p w14:paraId="121F970A" w14:textId="6CE3CB4C" w:rsidR="00254DF6" w:rsidRPr="003D7A01" w:rsidRDefault="00254DF6" w:rsidP="00F140C0">
      <w:pPr>
        <w:numPr>
          <w:ilvl w:val="0"/>
          <w:numId w:val="12"/>
        </w:numPr>
        <w:spacing w:after="0" w:line="276" w:lineRule="auto"/>
        <w:ind w:left="426" w:hanging="414"/>
        <w:jc w:val="both"/>
        <w:rPr>
          <w:rFonts w:ascii="Times New Roman" w:hAnsi="Times New Roman"/>
          <w:sz w:val="18"/>
          <w:szCs w:val="18"/>
        </w:rPr>
      </w:pPr>
      <w:r w:rsidRPr="00F140C0">
        <w:rPr>
          <w:rFonts w:ascii="Times New Roman" w:hAnsi="Times New Roman"/>
          <w:sz w:val="20"/>
          <w:szCs w:val="20"/>
        </w:rPr>
        <w:t>Ordering</w:t>
      </w:r>
      <w:r w:rsidRPr="003D7A01">
        <w:rPr>
          <w:rFonts w:ascii="Times New Roman" w:hAnsi="Times New Roman"/>
          <w:iCs/>
          <w:sz w:val="20"/>
          <w:szCs w:val="20"/>
        </w:rPr>
        <w:t xml:space="preserve"> Frequency Calculation. The ordering frequency is determined by calculating the number of orders placed within a given period. It can be computed as the ratio between demand and the order quantity, as shown in Equation (2) </w:t>
      </w:r>
      <w:sdt>
        <w:sdtPr>
          <w:rPr>
            <w:rFonts w:ascii="Times New Roman" w:hAnsi="Times New Roman"/>
            <w:iCs/>
            <w:sz w:val="20"/>
            <w:szCs w:val="20"/>
          </w:rPr>
          <w:tag w:val="MENDELEY_CITATION_v3_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"/>
          <w:id w:val="-1505739270"/>
          <w:placeholder>
            <w:docPart w:val="DefaultPlaceholder_-1854013440"/>
          </w:placeholder>
        </w:sdtPr>
        <w:sdtEndPr>
          <w:rPr>
            <w:iCs w:val="0"/>
          </w:rPr>
        </w:sdtEndPr>
        <w:sdtContent>
          <w:r w:rsidR="00CC1D18" w:rsidRPr="003D7A01">
            <w:rPr>
              <w:rFonts w:ascii="Times New Roman" w:hAnsi="Times New Roman"/>
              <w:color w:val="000000"/>
              <w:sz w:val="20"/>
              <w:szCs w:val="20"/>
            </w:rPr>
            <w:t>[7]</w:t>
          </w:r>
        </w:sdtContent>
      </w:sdt>
      <w:r w:rsidRPr="003D7A01">
        <w:rPr>
          <w:rFonts w:ascii="Times New Roman" w:hAnsi="Times New Roman"/>
          <w:iCs/>
          <w:sz w:val="20"/>
          <w:szCs w:val="20"/>
        </w:rPr>
        <w:t xml:space="preserve">. </w:t>
      </w:r>
    </w:p>
    <w:p w14:paraId="60F204D1" w14:textId="77777777" w:rsidR="00254DF6" w:rsidRPr="003D7A01" w:rsidRDefault="00254DF6" w:rsidP="0003786E">
      <w:pPr>
        <w:spacing w:after="0" w:line="276" w:lineRule="auto"/>
        <w:ind w:left="720"/>
        <w:jc w:val="both"/>
        <w:rPr>
          <w:rFonts w:ascii="Times New Roman" w:hAnsi="Times New Roman"/>
          <w:sz w:val="18"/>
          <w:szCs w:val="18"/>
        </w:rPr>
      </w:pPr>
    </w:p>
    <w:tbl>
      <w:tblPr>
        <w:tblW w:w="0" w:type="auto"/>
        <w:tblLook w:val="0000" w:firstRow="0" w:lastRow="0" w:firstColumn="0" w:lastColumn="0" w:noHBand="0" w:noVBand="0"/>
      </w:tblPr>
      <w:tblGrid>
        <w:gridCol w:w="8092"/>
        <w:gridCol w:w="695"/>
      </w:tblGrid>
      <w:tr w:rsidR="00254DF6" w:rsidRPr="003D7A01" w14:paraId="2E0A8901" w14:textId="77777777" w:rsidTr="00E21C70">
        <w:tc>
          <w:tcPr>
            <w:tcW w:w="8838" w:type="dxa"/>
            <w:vAlign w:val="center"/>
          </w:tcPr>
          <w:p w14:paraId="3FAFA9E1" w14:textId="77777777" w:rsidR="00254DF6" w:rsidRPr="003D7A01" w:rsidRDefault="00254DF6" w:rsidP="00E21C70">
            <w:pPr>
              <w:spacing w:line="360" w:lineRule="auto"/>
              <w:jc w:val="center"/>
              <w:rPr>
                <w:rFonts w:ascii="Times New Roman" w:hAnsi="Times New Roman"/>
                <w:color w:val="000000"/>
                <w:sz w:val="20"/>
                <w:szCs w:val="20"/>
              </w:rPr>
            </w:pPr>
            <m:oMathPara>
              <m:oMath>
                <m:r>
                  <w:rPr>
                    <w:rFonts w:ascii="Cambria Math" w:hAnsi="Cambria Math"/>
                    <w:color w:val="000000"/>
                    <w:sz w:val="20"/>
                    <w:szCs w:val="20"/>
                  </w:rPr>
                  <m:t xml:space="preserve">F = </m:t>
                </m:r>
                <m:f>
                  <m:fPr>
                    <m:ctrlPr>
                      <w:rPr>
                        <w:rFonts w:ascii="Cambria Math" w:hAnsi="Cambria Math"/>
                        <w:i/>
                        <w:color w:val="000000"/>
                        <w:sz w:val="20"/>
                        <w:szCs w:val="20"/>
                      </w:rPr>
                    </m:ctrlPr>
                  </m:fPr>
                  <m:num>
                    <m:r>
                      <w:rPr>
                        <w:rFonts w:ascii="Cambria Math" w:hAnsi="Cambria Math"/>
                        <w:color w:val="000000"/>
                        <w:sz w:val="20"/>
                        <w:szCs w:val="20"/>
                      </w:rPr>
                      <m:t>D</m:t>
                    </m:r>
                  </m:num>
                  <m:den>
                    <m:r>
                      <w:rPr>
                        <w:rFonts w:ascii="Cambria Math" w:hAnsi="Cambria Math"/>
                        <w:color w:val="000000"/>
                        <w:sz w:val="20"/>
                        <w:szCs w:val="20"/>
                      </w:rPr>
                      <m:t>Q*</m:t>
                    </m:r>
                  </m:den>
                </m:f>
              </m:oMath>
            </m:oMathPara>
          </w:p>
        </w:tc>
        <w:tc>
          <w:tcPr>
            <w:tcW w:w="720" w:type="dxa"/>
            <w:vAlign w:val="center"/>
          </w:tcPr>
          <w:p w14:paraId="5115026A" w14:textId="77777777" w:rsidR="00254DF6" w:rsidRPr="003D7A01" w:rsidRDefault="00254DF6" w:rsidP="00E21C70">
            <w:pPr>
              <w:jc w:val="center"/>
              <w:rPr>
                <w:rFonts w:ascii="Times New Roman" w:hAnsi="Times New Roman"/>
                <w:sz w:val="20"/>
                <w:szCs w:val="20"/>
              </w:rPr>
            </w:pPr>
            <w:r w:rsidRPr="003D7A01">
              <w:rPr>
                <w:rFonts w:ascii="Times New Roman" w:hAnsi="Times New Roman"/>
                <w:sz w:val="20"/>
                <w:szCs w:val="20"/>
              </w:rPr>
              <w:t>(2)</w:t>
            </w:r>
          </w:p>
        </w:tc>
      </w:tr>
    </w:tbl>
    <w:p w14:paraId="014F2C88" w14:textId="5D54589A" w:rsidR="00254DF6" w:rsidRPr="003D7A01" w:rsidRDefault="00254DF6" w:rsidP="00877C25">
      <w:pPr>
        <w:numPr>
          <w:ilvl w:val="0"/>
          <w:numId w:val="12"/>
        </w:numPr>
        <w:spacing w:after="0" w:line="276" w:lineRule="auto"/>
        <w:ind w:left="360"/>
        <w:jc w:val="both"/>
        <w:rPr>
          <w:rFonts w:ascii="Times New Roman" w:hAnsi="Times New Roman"/>
          <w:sz w:val="20"/>
          <w:szCs w:val="20"/>
        </w:rPr>
      </w:pPr>
      <w:r w:rsidRPr="003D7A01">
        <w:rPr>
          <w:rStyle w:val="Strong"/>
          <w:rFonts w:ascii="Times New Roman" w:hAnsi="Times New Roman"/>
          <w:b w:val="0"/>
          <w:bCs w:val="0"/>
          <w:sz w:val="20"/>
          <w:szCs w:val="20"/>
        </w:rPr>
        <w:t>Safety Stock (SS).</w:t>
      </w:r>
      <w:r w:rsidRPr="003D7A01">
        <w:rPr>
          <w:rFonts w:ascii="Times New Roman" w:hAnsi="Times New Roman"/>
          <w:sz w:val="20"/>
          <w:szCs w:val="20"/>
        </w:rPr>
        <w:t xml:space="preserve"> Safety stock is used to determine the level of buffer inventory. It is calculated by multiplying the service level value (</w:t>
      </w:r>
      <w:r w:rsidRPr="003D7A01">
        <w:rPr>
          <w:rStyle w:val="Emphasis"/>
          <w:rFonts w:ascii="Times New Roman" w:hAnsi="Times New Roman"/>
          <w:sz w:val="20"/>
          <w:szCs w:val="20"/>
        </w:rPr>
        <w:t>Z</w:t>
      </w:r>
      <w:r w:rsidRPr="003D7A01">
        <w:rPr>
          <w:rFonts w:ascii="Times New Roman" w:hAnsi="Times New Roman"/>
          <w:sz w:val="20"/>
          <w:szCs w:val="20"/>
        </w:rPr>
        <w:t>) by the standard deviation of demand during lead time and the average lead time (</w:t>
      </w:r>
      <w:r w:rsidRPr="003D7A01">
        <w:rPr>
          <w:rStyle w:val="Emphasis"/>
          <w:rFonts w:ascii="Times New Roman" w:hAnsi="Times New Roman"/>
          <w:sz w:val="20"/>
          <w:szCs w:val="20"/>
        </w:rPr>
        <w:t>L</w:t>
      </w:r>
      <w:r w:rsidRPr="003D7A01">
        <w:rPr>
          <w:rFonts w:ascii="Times New Roman" w:hAnsi="Times New Roman"/>
          <w:sz w:val="20"/>
          <w:szCs w:val="20"/>
        </w:rPr>
        <w:t xml:space="preserve">) </w:t>
      </w:r>
      <w:sdt>
        <w:sdtPr>
          <w:rPr>
            <w:rFonts w:ascii="Times New Roman" w:hAnsi="Times New Roman"/>
            <w:sz w:val="20"/>
            <w:szCs w:val="20"/>
          </w:rPr>
          <w:tag w:val="MENDELEY_CITATION_v3_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"/>
          <w:id w:val="1638523087"/>
          <w:placeholder>
            <w:docPart w:val="72E6B8F0551C448F91EE61763454DDD1"/>
          </w:placeholder>
        </w:sdtPr>
        <w:sdtContent>
          <w:r w:rsidR="00CC1D18" w:rsidRPr="003D7A01">
            <w:rPr>
              <w:rFonts w:ascii="Times New Roman" w:hAnsi="Times New Roman"/>
              <w:color w:val="000000"/>
              <w:sz w:val="20"/>
              <w:szCs w:val="20"/>
            </w:rPr>
            <w:t>[18]</w:t>
          </w:r>
        </w:sdtContent>
      </w:sdt>
      <w:r w:rsidR="0074751F" w:rsidRPr="003D7A01">
        <w:rPr>
          <w:rFonts w:ascii="Times New Roman" w:hAnsi="Times New Roman"/>
          <w:sz w:val="20"/>
          <w:szCs w:val="20"/>
        </w:rPr>
        <w:t xml:space="preserve">. </w:t>
      </w:r>
    </w:p>
    <w:tbl>
      <w:tblPr>
        <w:tblW w:w="0" w:type="auto"/>
        <w:tblLook w:val="0000" w:firstRow="0" w:lastRow="0" w:firstColumn="0" w:lastColumn="0" w:noHBand="0" w:noVBand="0"/>
      </w:tblPr>
      <w:tblGrid>
        <w:gridCol w:w="8094"/>
        <w:gridCol w:w="693"/>
      </w:tblGrid>
      <w:tr w:rsidR="00254DF6" w:rsidRPr="003D7A01" w14:paraId="20EA0092" w14:textId="77777777" w:rsidTr="00E21C70">
        <w:tc>
          <w:tcPr>
            <w:tcW w:w="8838" w:type="dxa"/>
            <w:vAlign w:val="center"/>
          </w:tcPr>
          <w:p w14:paraId="556C15D4" w14:textId="77777777" w:rsidR="00254DF6" w:rsidRPr="003D7A01" w:rsidRDefault="00254DF6" w:rsidP="00E21C70">
            <w:pPr>
              <w:spacing w:line="360" w:lineRule="auto"/>
              <w:ind w:left="596"/>
              <w:jc w:val="center"/>
              <w:rPr>
                <w:rFonts w:ascii="Times New Roman" w:hAnsi="Times New Roman"/>
                <w:color w:val="000000"/>
                <w:sz w:val="20"/>
                <w:szCs w:val="20"/>
              </w:rPr>
            </w:pPr>
            <m:oMathPara>
              <m:oMath>
                <m:r>
                  <w:rPr>
                    <w:rFonts w:ascii="Cambria Math" w:hAnsi="Cambria Math"/>
                    <w:color w:val="000000"/>
                    <w:sz w:val="20"/>
                    <w:szCs w:val="20"/>
                  </w:rPr>
                  <m:t>Safety Stock = Z ×σ×</m:t>
                </m:r>
                <m:rad>
                  <m:radPr>
                    <m:degHide m:val="1"/>
                    <m:ctrlPr>
                      <w:rPr>
                        <w:rFonts w:ascii="Cambria Math" w:hAnsi="Cambria Math"/>
                        <w:i/>
                        <w:color w:val="000000"/>
                        <w:sz w:val="20"/>
                        <w:szCs w:val="20"/>
                      </w:rPr>
                    </m:ctrlPr>
                  </m:radPr>
                  <m:deg/>
                  <m:e>
                    <m:r>
                      <w:rPr>
                        <w:rFonts w:ascii="Cambria Math" w:hAnsi="Cambria Math"/>
                        <w:color w:val="000000"/>
                        <w:sz w:val="20"/>
                        <w:szCs w:val="20"/>
                      </w:rPr>
                      <m:t>L</m:t>
                    </m:r>
                  </m:e>
                </m:rad>
              </m:oMath>
            </m:oMathPara>
          </w:p>
        </w:tc>
        <w:tc>
          <w:tcPr>
            <w:tcW w:w="720" w:type="dxa"/>
            <w:vAlign w:val="center"/>
          </w:tcPr>
          <w:p w14:paraId="2E8E373E" w14:textId="77777777" w:rsidR="00254DF6" w:rsidRPr="003D7A01" w:rsidRDefault="00254DF6" w:rsidP="00E21C70">
            <w:pPr>
              <w:jc w:val="center"/>
              <w:rPr>
                <w:rFonts w:ascii="Times New Roman" w:hAnsi="Times New Roman"/>
                <w:sz w:val="20"/>
                <w:szCs w:val="20"/>
              </w:rPr>
            </w:pPr>
            <w:r w:rsidRPr="003D7A01">
              <w:rPr>
                <w:rFonts w:ascii="Times New Roman" w:hAnsi="Times New Roman"/>
                <w:sz w:val="20"/>
                <w:szCs w:val="20"/>
              </w:rPr>
              <w:t>(3)</w:t>
            </w:r>
          </w:p>
        </w:tc>
      </w:tr>
    </w:tbl>
    <w:p w14:paraId="4C24999C" w14:textId="77777777" w:rsidR="00254DF6" w:rsidRPr="00F140C0" w:rsidRDefault="00254DF6" w:rsidP="00F140C0">
      <w:pPr>
        <w:numPr>
          <w:ilvl w:val="0"/>
          <w:numId w:val="12"/>
        </w:numPr>
        <w:spacing w:after="0" w:line="276" w:lineRule="auto"/>
        <w:ind w:left="426" w:hanging="414"/>
        <w:jc w:val="both"/>
        <w:rPr>
          <w:rFonts w:ascii="Times New Roman" w:eastAsia="Times New Roman" w:hAnsi="Times New Roman"/>
          <w:sz w:val="20"/>
          <w:szCs w:val="20"/>
        </w:rPr>
      </w:pPr>
      <w:r w:rsidRPr="00F140C0">
        <w:rPr>
          <w:rFonts w:ascii="Times New Roman" w:eastAsia="Times New Roman" w:hAnsi="Times New Roman"/>
          <w:sz w:val="20"/>
          <w:szCs w:val="20"/>
        </w:rPr>
        <w:t xml:space="preserve">Reorder </w:t>
      </w:r>
      <w:r w:rsidRPr="00F140C0">
        <w:rPr>
          <w:rFonts w:ascii="Times New Roman" w:hAnsi="Times New Roman"/>
          <w:iCs/>
          <w:sz w:val="20"/>
          <w:szCs w:val="20"/>
        </w:rPr>
        <w:t>Point</w:t>
      </w:r>
      <w:r w:rsidRPr="00F140C0">
        <w:rPr>
          <w:rFonts w:ascii="Times New Roman" w:eastAsia="Times New Roman" w:hAnsi="Times New Roman"/>
          <w:sz w:val="20"/>
          <w:szCs w:val="20"/>
        </w:rPr>
        <w:t xml:space="preserve"> (ROP). The reorder point is used to determine the appropriate time to place a new order</w:t>
      </w:r>
    </w:p>
    <w:tbl>
      <w:tblPr>
        <w:tblW w:w="0" w:type="auto"/>
        <w:tblLook w:val="0000" w:firstRow="0" w:lastRow="0" w:firstColumn="0" w:lastColumn="0" w:noHBand="0" w:noVBand="0"/>
      </w:tblPr>
      <w:tblGrid>
        <w:gridCol w:w="8102"/>
        <w:gridCol w:w="685"/>
      </w:tblGrid>
      <w:tr w:rsidR="00254DF6" w:rsidRPr="003D7A01" w14:paraId="5FFC8FF7" w14:textId="77777777" w:rsidTr="00E21C70">
        <w:tc>
          <w:tcPr>
            <w:tcW w:w="8311" w:type="dxa"/>
            <w:vAlign w:val="center"/>
          </w:tcPr>
          <w:p w14:paraId="3325D4D5" w14:textId="77777777" w:rsidR="00254DF6" w:rsidRPr="003D7A01" w:rsidRDefault="00254DF6" w:rsidP="00E21C70">
            <w:pPr>
              <w:spacing w:line="360" w:lineRule="auto"/>
              <w:ind w:left="596"/>
              <w:jc w:val="center"/>
              <w:rPr>
                <w:rFonts w:ascii="Times New Roman" w:hAnsi="Times New Roman"/>
                <w:color w:val="000000"/>
                <w:sz w:val="20"/>
                <w:szCs w:val="20"/>
              </w:rPr>
            </w:pPr>
            <m:oMathPara>
              <m:oMath>
                <m:r>
                  <w:rPr>
                    <w:rFonts w:ascii="Cambria Math" w:hAnsi="Cambria Math"/>
                    <w:color w:val="000000"/>
                    <w:sz w:val="20"/>
                    <w:szCs w:val="20"/>
                  </w:rPr>
                  <m:t>ROP = d×L + Safety Stock</m:t>
                </m:r>
              </m:oMath>
            </m:oMathPara>
          </w:p>
        </w:tc>
        <w:tc>
          <w:tcPr>
            <w:tcW w:w="693" w:type="dxa"/>
            <w:vAlign w:val="center"/>
          </w:tcPr>
          <w:p w14:paraId="4D62BD14" w14:textId="77777777" w:rsidR="00254DF6" w:rsidRPr="003D7A01" w:rsidRDefault="00254DF6" w:rsidP="00E21C70">
            <w:pPr>
              <w:jc w:val="center"/>
              <w:rPr>
                <w:rFonts w:ascii="Times New Roman" w:hAnsi="Times New Roman"/>
                <w:sz w:val="20"/>
                <w:szCs w:val="20"/>
              </w:rPr>
            </w:pPr>
            <w:r w:rsidRPr="003D7A01">
              <w:rPr>
                <w:rFonts w:ascii="Times New Roman" w:hAnsi="Times New Roman"/>
                <w:sz w:val="20"/>
                <w:szCs w:val="20"/>
              </w:rPr>
              <w:t>(4)</w:t>
            </w:r>
          </w:p>
        </w:tc>
      </w:tr>
    </w:tbl>
    <w:p w14:paraId="772BDF8D" w14:textId="3C49D9C3" w:rsidR="00254DF6" w:rsidRPr="003D7A01" w:rsidRDefault="00254DF6" w:rsidP="00F140C0">
      <w:pPr>
        <w:numPr>
          <w:ilvl w:val="0"/>
          <w:numId w:val="12"/>
        </w:numPr>
        <w:spacing w:after="0" w:line="276" w:lineRule="auto"/>
        <w:ind w:left="426" w:hanging="414"/>
        <w:jc w:val="both"/>
        <w:rPr>
          <w:rFonts w:ascii="Times New Roman" w:hAnsi="Times New Roman"/>
          <w:sz w:val="18"/>
          <w:szCs w:val="18"/>
        </w:rPr>
      </w:pPr>
      <w:r w:rsidRPr="00F140C0">
        <w:rPr>
          <w:rFonts w:ascii="Times New Roman" w:hAnsi="Times New Roman"/>
          <w:iCs/>
          <w:sz w:val="20"/>
          <w:szCs w:val="20"/>
        </w:rPr>
        <w:t>Total</w:t>
      </w:r>
      <w:r w:rsidRPr="003D7A01">
        <w:rPr>
          <w:rFonts w:ascii="Times New Roman" w:hAnsi="Times New Roman"/>
          <w:sz w:val="20"/>
          <w:szCs w:val="20"/>
        </w:rPr>
        <w:t xml:space="preserve"> Inventory Cost (TIC). Total inventory cost is determined by calculating the overall inventory cost based on the optimal order quantity. TIC is evaluated using the EOQ method when quantity discounts are applied. The calculation of TIC includes total ordering costs, holding costs, and the purchase cost</w:t>
      </w:r>
      <w:sdt>
        <w:sdtPr>
          <w:rPr>
            <w:rFonts w:ascii="Times New Roman" w:hAnsi="Times New Roman"/>
            <w:sz w:val="20"/>
            <w:szCs w:val="20"/>
          </w:rPr>
          <w:tag w:val="MENDELEY_CITATION_v3_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"/>
          <w:id w:val="2056813331"/>
          <w:placeholder>
            <w:docPart w:val="DefaultPlaceholder_-1854013440"/>
          </w:placeholder>
        </w:sdtPr>
        <w:sdtContent>
          <w:r w:rsidR="00CC1D18" w:rsidRPr="003D7A01">
            <w:rPr>
              <w:rFonts w:ascii="Times New Roman" w:hAnsi="Times New Roman"/>
              <w:color w:val="000000"/>
              <w:sz w:val="20"/>
              <w:szCs w:val="20"/>
            </w:rPr>
            <w:t>[19]</w:t>
          </w:r>
        </w:sdtContent>
      </w:sdt>
      <w:r w:rsidRPr="003D7A01">
        <w:rPr>
          <w:rFonts w:ascii="Times New Roman" w:hAnsi="Times New Roman"/>
          <w:sz w:val="20"/>
          <w:szCs w:val="20"/>
        </w:rPr>
        <w:t>.</w:t>
      </w:r>
    </w:p>
    <w:p w14:paraId="692C28D8" w14:textId="77777777" w:rsidR="00254DF6" w:rsidRPr="003D7A01" w:rsidRDefault="00254DF6" w:rsidP="0003786E">
      <w:pPr>
        <w:spacing w:after="0" w:line="276" w:lineRule="auto"/>
        <w:ind w:left="1080"/>
        <w:jc w:val="center"/>
      </w:pPr>
    </w:p>
    <w:tbl>
      <w:tblPr>
        <w:tblW w:w="0" w:type="auto"/>
        <w:tblLook w:val="0000" w:firstRow="0" w:lastRow="0" w:firstColumn="0" w:lastColumn="0" w:noHBand="0" w:noVBand="0"/>
      </w:tblPr>
      <w:tblGrid>
        <w:gridCol w:w="8091"/>
        <w:gridCol w:w="696"/>
      </w:tblGrid>
      <w:tr w:rsidR="00254DF6" w:rsidRPr="003D7A01" w14:paraId="2179697A" w14:textId="77777777" w:rsidTr="00F35AF8">
        <w:tc>
          <w:tcPr>
            <w:tcW w:w="8091" w:type="dxa"/>
            <w:vAlign w:val="center"/>
          </w:tcPr>
          <w:p w14:paraId="5E27D3CA" w14:textId="77777777" w:rsidR="00254DF6" w:rsidRPr="003D7A01" w:rsidRDefault="00254DF6" w:rsidP="00E21C70">
            <w:pPr>
              <w:spacing w:line="360" w:lineRule="auto"/>
              <w:ind w:left="596"/>
              <w:jc w:val="center"/>
              <w:rPr>
                <w:rFonts w:ascii="Times New Roman" w:hAnsi="Times New Roman"/>
                <w:color w:val="000000"/>
                <w:sz w:val="20"/>
                <w:szCs w:val="20"/>
              </w:rPr>
            </w:pPr>
            <m:oMathPara>
              <m:oMath>
                <m:r>
                  <m:rPr>
                    <m:sty m:val="p"/>
                  </m:rPr>
                  <w:rPr>
                    <w:rFonts w:ascii="Cambria Math" w:hAnsi="Cambria Math"/>
                    <w:color w:val="000000"/>
                    <w:sz w:val="20"/>
                    <w:szCs w:val="20"/>
                  </w:rPr>
                  <m:t>TIC</m:t>
                </m:r>
                <m:r>
                  <w:rPr>
                    <w:rFonts w:ascii="Cambria Math" w:hAnsi="Cambria Math"/>
                    <w:color w:val="000000"/>
                    <w:sz w:val="20"/>
                    <w:szCs w:val="20"/>
                  </w:rPr>
                  <m:t xml:space="preserve"> = </m:t>
                </m:r>
                <m:f>
                  <m:fPr>
                    <m:ctrlPr>
                      <w:rPr>
                        <w:rFonts w:ascii="Cambria Math" w:hAnsi="Cambria Math"/>
                        <w:color w:val="000000"/>
                        <w:sz w:val="20"/>
                        <w:szCs w:val="20"/>
                      </w:rPr>
                    </m:ctrlPr>
                  </m:fPr>
                  <m:num>
                    <m:r>
                      <m:rPr>
                        <m:sty m:val="p"/>
                      </m:rPr>
                      <w:rPr>
                        <w:rFonts w:ascii="Cambria Math" w:hAnsi="Cambria Math"/>
                        <w:color w:val="000000"/>
                        <w:sz w:val="20"/>
                        <w:szCs w:val="20"/>
                      </w:rPr>
                      <m:t>D</m:t>
                    </m:r>
                  </m:num>
                  <m:den>
                    <m:r>
                      <m:rPr>
                        <m:sty m:val="p"/>
                      </m:rPr>
                      <w:rPr>
                        <w:rFonts w:ascii="Cambria Math" w:hAnsi="Cambria Math"/>
                        <w:color w:val="000000"/>
                        <w:sz w:val="20"/>
                        <w:szCs w:val="20"/>
                      </w:rPr>
                      <m:t>Q*</m:t>
                    </m:r>
                  </m:den>
                </m:f>
                <m:r>
                  <m:rPr>
                    <m:sty m:val="p"/>
                  </m:rPr>
                  <w:rPr>
                    <w:rFonts w:ascii="Cambria Math" w:hAnsi="Cambria Math"/>
                    <w:color w:val="000000"/>
                    <w:sz w:val="20"/>
                    <w:szCs w:val="20"/>
                  </w:rPr>
                  <m:t>S+</m:t>
                </m:r>
                <m:f>
                  <m:fPr>
                    <m:ctrlPr>
                      <w:rPr>
                        <w:rFonts w:ascii="Cambria Math" w:hAnsi="Cambria Math"/>
                        <w:color w:val="000000"/>
                        <w:sz w:val="20"/>
                        <w:szCs w:val="20"/>
                      </w:rPr>
                    </m:ctrlPr>
                  </m:fPr>
                  <m:num>
                    <m:r>
                      <m:rPr>
                        <m:sty m:val="p"/>
                      </m:rPr>
                      <w:rPr>
                        <w:rFonts w:ascii="Cambria Math" w:hAnsi="Cambria Math"/>
                        <w:color w:val="000000"/>
                        <w:sz w:val="20"/>
                        <w:szCs w:val="20"/>
                      </w:rPr>
                      <m:t>Q*</m:t>
                    </m:r>
                  </m:num>
                  <m:den>
                    <m:r>
                      <m:rPr>
                        <m:sty m:val="p"/>
                      </m:rPr>
                      <w:rPr>
                        <w:rFonts w:ascii="Cambria Math" w:hAnsi="Cambria Math"/>
                        <w:color w:val="000000"/>
                        <w:sz w:val="20"/>
                        <w:szCs w:val="20"/>
                      </w:rPr>
                      <m:t>2</m:t>
                    </m:r>
                  </m:den>
                </m:f>
                <m:r>
                  <m:rPr>
                    <m:sty m:val="p"/>
                  </m:rPr>
                  <w:rPr>
                    <w:rFonts w:ascii="Cambria Math" w:hAnsi="Cambria Math"/>
                    <w:color w:val="000000"/>
                    <w:sz w:val="20"/>
                    <w:szCs w:val="20"/>
                  </w:rPr>
                  <m:t>H+P x D</m:t>
                </m:r>
              </m:oMath>
            </m:oMathPara>
          </w:p>
        </w:tc>
        <w:tc>
          <w:tcPr>
            <w:tcW w:w="696" w:type="dxa"/>
            <w:vAlign w:val="center"/>
          </w:tcPr>
          <w:p w14:paraId="38F4C6BF" w14:textId="77777777" w:rsidR="00254DF6" w:rsidRPr="003D7A01" w:rsidRDefault="00254DF6" w:rsidP="00E21C70">
            <w:pPr>
              <w:jc w:val="center"/>
              <w:rPr>
                <w:rFonts w:ascii="Times New Roman" w:hAnsi="Times New Roman"/>
                <w:sz w:val="20"/>
                <w:szCs w:val="20"/>
              </w:rPr>
            </w:pPr>
            <w:r w:rsidRPr="003D7A01">
              <w:rPr>
                <w:rFonts w:ascii="Times New Roman" w:hAnsi="Times New Roman"/>
                <w:sz w:val="20"/>
                <w:szCs w:val="20"/>
              </w:rPr>
              <w:t>(5)</w:t>
            </w:r>
          </w:p>
        </w:tc>
      </w:tr>
    </w:tbl>
    <w:p w14:paraId="448D7844" w14:textId="63576B40" w:rsidR="000965D7" w:rsidRPr="003D7A01" w:rsidRDefault="00F35AF8" w:rsidP="00F140C0">
      <w:pPr>
        <w:pStyle w:val="BodyText"/>
        <w:spacing w:after="0" w:line="276" w:lineRule="auto"/>
        <w:ind w:firstLine="567"/>
        <w:rPr>
          <w:sz w:val="20"/>
        </w:rPr>
      </w:pPr>
      <w:r w:rsidRPr="003D7A01">
        <w:rPr>
          <w:sz w:val="20"/>
        </w:rPr>
        <w:t xml:space="preserve">The service level was established based on the historical inventory performance of the SME. The appropriate service level determined from collected historical demand data and recorded the frequency of stockouts over the observation period. The actual service level was then calculated as the proportion of operating days without stockouts relative to the total number of operating days. Based on this historical calculation, a realistic and achievable </w:t>
      </w:r>
      <w:r w:rsidRPr="00F140C0">
        <w:rPr>
          <w:color w:val="000000"/>
          <w:sz w:val="20"/>
          <w:szCs w:val="18"/>
        </w:rPr>
        <w:t>target</w:t>
      </w:r>
      <w:r w:rsidRPr="003D7A01">
        <w:rPr>
          <w:sz w:val="20"/>
        </w:rPr>
        <w:t xml:space="preserve"> service level is 95%, which implies a maximum stockout tolerance of 5% of total operating days.</w:t>
      </w:r>
    </w:p>
    <w:p w14:paraId="2A9E9A66" w14:textId="77777777" w:rsidR="00F35AF8" w:rsidRPr="003D7A01" w:rsidRDefault="00F35AF8" w:rsidP="0003786E">
      <w:pPr>
        <w:spacing w:after="0" w:line="276" w:lineRule="auto"/>
        <w:jc w:val="both"/>
        <w:rPr>
          <w:rFonts w:ascii="Times New Roman" w:hAnsi="Times New Roman"/>
          <w:b/>
          <w:bCs/>
          <w:sz w:val="20"/>
          <w:szCs w:val="20"/>
        </w:rPr>
      </w:pPr>
    </w:p>
    <w:p w14:paraId="49D029DD" w14:textId="7638C42B" w:rsidR="00254DF6" w:rsidRPr="003D7A01" w:rsidRDefault="000965D7" w:rsidP="0003786E">
      <w:pPr>
        <w:spacing w:after="0" w:line="276" w:lineRule="auto"/>
        <w:jc w:val="both"/>
        <w:rPr>
          <w:rFonts w:ascii="Times New Roman" w:hAnsi="Times New Roman"/>
          <w:b/>
          <w:bCs/>
          <w:sz w:val="20"/>
          <w:szCs w:val="20"/>
        </w:rPr>
      </w:pPr>
      <w:r w:rsidRPr="003D7A01">
        <w:rPr>
          <w:rFonts w:ascii="Times New Roman" w:hAnsi="Times New Roman"/>
          <w:b/>
          <w:bCs/>
          <w:sz w:val="20"/>
          <w:szCs w:val="20"/>
        </w:rPr>
        <w:t xml:space="preserve">2.4 </w:t>
      </w:r>
      <w:r w:rsidR="00254DF6" w:rsidRPr="003D7A01">
        <w:rPr>
          <w:rFonts w:ascii="Times New Roman" w:hAnsi="Times New Roman"/>
          <w:b/>
          <w:bCs/>
          <w:sz w:val="20"/>
          <w:szCs w:val="20"/>
        </w:rPr>
        <w:t>Results, Discussion and conclusion</w:t>
      </w:r>
    </w:p>
    <w:p w14:paraId="459A2B01" w14:textId="0AE8D751" w:rsidR="006153BF" w:rsidRPr="003D7A01" w:rsidRDefault="00254DF6" w:rsidP="00F140C0">
      <w:pPr>
        <w:pStyle w:val="BodyText"/>
        <w:spacing w:after="0" w:line="276" w:lineRule="auto"/>
        <w:ind w:firstLine="567"/>
        <w:rPr>
          <w:sz w:val="20"/>
        </w:rPr>
      </w:pPr>
      <w:r w:rsidRPr="003D7A01">
        <w:rPr>
          <w:sz w:val="20"/>
        </w:rPr>
        <w:t>The result presents the finding of the research objectively. This section present</w:t>
      </w:r>
      <w:r w:rsidR="0074751F" w:rsidRPr="003D7A01">
        <w:rPr>
          <w:sz w:val="20"/>
        </w:rPr>
        <w:t>ed</w:t>
      </w:r>
      <w:r w:rsidRPr="003D7A01">
        <w:rPr>
          <w:sz w:val="20"/>
        </w:rPr>
        <w:t xml:space="preserve"> factual outcomes of analyses and provide with evidence. The conclusion summarizes the results of the analysis by linking the research findings with the established objectives and provides an overview of the study’s contribution to inventory control.</w:t>
      </w:r>
    </w:p>
    <w:p w14:paraId="782C7F5F" w14:textId="77777777" w:rsidR="006153BF" w:rsidRPr="003D7A01" w:rsidRDefault="006153BF" w:rsidP="006153BF">
      <w:pPr>
        <w:spacing w:after="0" w:line="276" w:lineRule="auto"/>
        <w:jc w:val="both"/>
        <w:rPr>
          <w:rFonts w:ascii="Times New Roman" w:hAnsi="Times New Roman"/>
          <w:sz w:val="20"/>
          <w:szCs w:val="20"/>
        </w:rPr>
      </w:pPr>
    </w:p>
    <w:p w14:paraId="084C4D22" w14:textId="77777777" w:rsidR="006153BF" w:rsidRPr="003D7A01" w:rsidRDefault="006153BF" w:rsidP="006153BF">
      <w:pPr>
        <w:spacing w:after="0" w:line="276" w:lineRule="auto"/>
        <w:jc w:val="both"/>
        <w:rPr>
          <w:rFonts w:ascii="Times New Roman" w:hAnsi="Times New Roman"/>
          <w:b/>
          <w:bCs/>
          <w:sz w:val="20"/>
          <w:szCs w:val="20"/>
        </w:rPr>
      </w:pPr>
      <w:r w:rsidRPr="003D7A01">
        <w:rPr>
          <w:rFonts w:ascii="Times New Roman" w:hAnsi="Times New Roman"/>
          <w:b/>
          <w:bCs/>
          <w:sz w:val="20"/>
          <w:szCs w:val="20"/>
        </w:rPr>
        <w:t>Mechanism For Using Quantity Discounts (</w:t>
      </w:r>
      <w:proofErr w:type="spellStart"/>
      <w:r w:rsidRPr="003D7A01">
        <w:rPr>
          <w:rFonts w:ascii="Times New Roman" w:hAnsi="Times New Roman"/>
          <w:b/>
          <w:bCs/>
          <w:sz w:val="20"/>
          <w:szCs w:val="20"/>
        </w:rPr>
        <w:t>Qd</w:t>
      </w:r>
      <w:proofErr w:type="spellEnd"/>
      <w:r w:rsidRPr="003D7A01">
        <w:rPr>
          <w:rFonts w:ascii="Times New Roman" w:hAnsi="Times New Roman"/>
          <w:b/>
          <w:bCs/>
          <w:sz w:val="20"/>
          <w:szCs w:val="20"/>
        </w:rPr>
        <w:t>)</w:t>
      </w:r>
    </w:p>
    <w:p w14:paraId="7237C56D" w14:textId="34E9CE01" w:rsidR="006153BF" w:rsidRPr="00F140C0" w:rsidRDefault="006153BF" w:rsidP="00F140C0">
      <w:pPr>
        <w:pStyle w:val="BodyText"/>
        <w:spacing w:after="0" w:line="276" w:lineRule="auto"/>
        <w:ind w:firstLine="567"/>
        <w:rPr>
          <w:sz w:val="20"/>
        </w:rPr>
      </w:pPr>
      <w:r w:rsidRPr="00F140C0">
        <w:rPr>
          <w:sz w:val="20"/>
        </w:rPr>
        <w:t>The use of quantity discounts in the EOQ method can only be applied if several conditions are met. These include stable and predictable raw material demand in accordance with the basic assumptions of the EOQ model. The pricing structure provided by the supplier must be clear, covering both all-unit discounts and incremental discounts. All-unit discounts mean that all units receive a discounted price once a certain purchase threshold is exceeded. Incremental discounts apply only to additional units purchased beyond a certain threshold that qualify for the discounted price. The requirement for using quantity discounts (</w:t>
      </w:r>
      <w:proofErr w:type="spellStart"/>
      <w:r w:rsidRPr="00F140C0">
        <w:rPr>
          <w:sz w:val="20"/>
        </w:rPr>
        <w:t>Qd</w:t>
      </w:r>
      <w:proofErr w:type="spellEnd"/>
      <w:r w:rsidRPr="00F140C0">
        <w:rPr>
          <w:sz w:val="20"/>
        </w:rPr>
        <w:t xml:space="preserve">) is that holding costs are proportional to the unit price. This is supported when the company has sufficient capital and warehouse capacity to carry out large-quantity purchases. In addition, purchasing decisions are based on total inventory cost, not merely the unit price  </w:t>
      </w:r>
      <w:sdt>
        <w:sdtPr>
          <w:rPr>
            <w:sz w:val="20"/>
          </w:rPr>
          <w:tag w:val="MENDELEY_CITATION_v3_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"/>
          <w:id w:val="1320926072"/>
          <w:placeholder>
            <w:docPart w:val="7F1449B7198547D49CF347E0BB710D5B"/>
          </w:placeholder>
        </w:sdtPr>
        <w:sdtContent>
          <w:r w:rsidR="00CC1D18" w:rsidRPr="00F140C0">
            <w:rPr>
              <w:color w:val="000000"/>
              <w:sz w:val="20"/>
            </w:rPr>
            <w:t>[20]</w:t>
          </w:r>
        </w:sdtContent>
      </w:sdt>
      <w:r w:rsidRPr="00F140C0">
        <w:rPr>
          <w:sz w:val="20"/>
        </w:rPr>
        <w:t>. The discount range involved in the observation is the result of data collection from the supplier. The supplier sets an all-unit discount of IDR 1000/kg for a minimum purchase of 50 kg up to less than 100 kg. However, a higher discount is given at IDR 20000 /100 kg. The supplier prefers all-unit discount over incremental discount because it is simpler to apply, avoids complexity in calculation, and is more profitable for the supplier in total.</w:t>
      </w:r>
    </w:p>
    <w:p w14:paraId="1874F383" w14:textId="4B762997" w:rsidR="006153BF" w:rsidRPr="00F140C0" w:rsidRDefault="006153BF" w:rsidP="00F140C0">
      <w:pPr>
        <w:pStyle w:val="BodyText"/>
        <w:spacing w:after="0" w:line="276" w:lineRule="auto"/>
        <w:ind w:firstLine="567"/>
        <w:rPr>
          <w:sz w:val="20"/>
        </w:rPr>
      </w:pPr>
      <w:r w:rsidRPr="00F140C0">
        <w:rPr>
          <w:sz w:val="20"/>
        </w:rPr>
        <w:t xml:space="preserve">The calculation stages for quantity discounts in the EOQ method include determining the initial order quantity, evaluating the calculation results, calculating total inventory cost, and selecting the order quantity </w:t>
      </w:r>
      <w:sdt>
        <w:sdtPr>
          <w:rPr>
            <w:sz w:val="20"/>
          </w:rPr>
          <w:tag w:val="MENDELEY_CITATION_v3_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"/>
          <w:id w:val="-1310236629"/>
          <w:placeholder>
            <w:docPart w:val="A1214D57A5F2450CB63993024308F2DB"/>
          </w:placeholder>
        </w:sdtPr>
        <w:sdtContent>
          <w:r w:rsidR="00CC1D18" w:rsidRPr="00F140C0">
            <w:rPr>
              <w:color w:val="000000"/>
              <w:sz w:val="20"/>
            </w:rPr>
            <w:t>[21]</w:t>
          </w:r>
        </w:sdtContent>
      </w:sdt>
      <w:r w:rsidRPr="00F140C0">
        <w:rPr>
          <w:sz w:val="20"/>
        </w:rPr>
        <w:t xml:space="preserve">. The initial order quantity is determined using a simple EOQ calculation with applicable ordering and holding costs. The evaluation step considers whether the EOQ falls within a discount range; if so, that quantity is considered optimal. However, if the EOQ does not fall within a discount range, the EOQ must be recalculated using the price at the next discount level. The total inventory cost is then calculated for each relevant discount level. The final stage involves selecting the order quantity with the lowest total inventory cost among all alternatives. </w:t>
      </w:r>
    </w:p>
    <w:p w14:paraId="374A088C" w14:textId="53457116" w:rsidR="006153BF" w:rsidRPr="003D7A01" w:rsidRDefault="00457444" w:rsidP="006153BF">
      <w:pPr>
        <w:pStyle w:val="Body"/>
        <w:ind w:firstLine="360"/>
      </w:pPr>
      <w:r>
        <w:rPr>
          <w:noProof/>
          <w14:ligatures w14:val="standardContextual"/>
        </w:rPr>
        <mc:AlternateContent>
          <mc:Choice Requires="wpg">
            <w:drawing>
              <wp:anchor distT="0" distB="0" distL="114300" distR="114300" simplePos="0" relativeHeight="251666432" behindDoc="0" locked="0" layoutInCell="1" allowOverlap="1" wp14:anchorId="2A1039BA" wp14:editId="34813AF3">
                <wp:simplePos x="0" y="0"/>
                <wp:positionH relativeFrom="column">
                  <wp:posOffset>2152015</wp:posOffset>
                </wp:positionH>
                <wp:positionV relativeFrom="paragraph">
                  <wp:posOffset>19685</wp:posOffset>
                </wp:positionV>
                <wp:extent cx="1257031" cy="3073400"/>
                <wp:effectExtent l="0" t="0" r="19685" b="12700"/>
                <wp:wrapNone/>
                <wp:docPr id="1073243588" name="Group 12"/>
                <wp:cNvGraphicFramePr/>
                <a:graphic xmlns:a="http://schemas.openxmlformats.org/drawingml/2006/main">
                  <a:graphicData uri="http://schemas.microsoft.com/office/word/2010/wordprocessingGroup">
                    <wpg:wgp>
                      <wpg:cNvGrpSpPr/>
                      <wpg:grpSpPr>
                        <a:xfrm>
                          <a:off x="0" y="0"/>
                          <a:ext cx="1257031" cy="3073400"/>
                          <a:chOff x="0" y="12700"/>
                          <a:chExt cx="1257031" cy="3073400"/>
                        </a:xfrm>
                      </wpg:grpSpPr>
                      <wps:wsp>
                        <wps:cNvPr id="858699216" name="Rectangle 12"/>
                        <wps:cNvSpPr>
                          <a:spLocks noChangeArrowheads="1"/>
                        </wps:cNvSpPr>
                        <wps:spPr bwMode="auto">
                          <a:xfrm>
                            <a:off x="95250" y="44450"/>
                            <a:ext cx="1058857" cy="265727"/>
                          </a:xfrm>
                          <a:prstGeom prst="rect">
                            <a:avLst/>
                          </a:prstGeom>
                          <a:solidFill>
                            <a:srgbClr val="FFFFFF"/>
                          </a:solidFill>
                          <a:ln w="9525">
                            <a:solidFill>
                              <a:srgbClr val="FFFFFF"/>
                            </a:solidFill>
                            <a:miter lim="800000"/>
                            <a:headEnd/>
                            <a:tailEnd/>
                          </a:ln>
                        </wps:spPr>
                        <wps:txbx>
                          <w:txbxContent>
                            <w:p w14:paraId="3C848488" w14:textId="77777777" w:rsidR="00254DF6" w:rsidRDefault="00254DF6" w:rsidP="0003786E">
                              <w:pPr>
                                <w:rPr>
                                  <w:b/>
                                  <w:bCs/>
                                  <w:sz w:val="8"/>
                                  <w:szCs w:val="8"/>
                                </w:rPr>
                              </w:pPr>
                              <w:r>
                                <w:rPr>
                                  <w:b/>
                                  <w:bCs/>
                                  <w:sz w:val="14"/>
                                  <w:szCs w:val="14"/>
                                </w:rPr>
                                <w:t xml:space="preserve">Problem </w:t>
                              </w:r>
                              <w:proofErr w:type="spellStart"/>
                              <w:r>
                                <w:rPr>
                                  <w:b/>
                                  <w:bCs/>
                                  <w:sz w:val="14"/>
                                  <w:szCs w:val="14"/>
                                </w:rPr>
                                <w:t>Indentification</w:t>
                              </w:r>
                              <w:proofErr w:type="spellEnd"/>
                            </w:p>
                          </w:txbxContent>
                        </wps:txbx>
                        <wps:bodyPr rot="0" vert="horz" wrap="square" lIns="91440" tIns="45720" rIns="91440" bIns="45720" anchor="t" anchorCtr="0" upright="1">
                          <a:noAutofit/>
                        </wps:bodyPr>
                      </wps:wsp>
                      <wps:wsp>
                        <wps:cNvPr id="1297506499" name="Rectangle 17"/>
                        <wps:cNvSpPr>
                          <a:spLocks noChangeArrowheads="1"/>
                        </wps:cNvSpPr>
                        <wps:spPr bwMode="auto">
                          <a:xfrm>
                            <a:off x="0" y="12700"/>
                            <a:ext cx="1244331" cy="330200"/>
                          </a:xfrm>
                          <a:prstGeom prst="rect">
                            <a:avLst/>
                          </a:prstGeom>
                          <a:solidFill>
                            <a:srgbClr val="FFFFFF"/>
                          </a:solidFill>
                          <a:ln w="9525">
                            <a:solidFill>
                              <a:srgbClr val="000000"/>
                            </a:solidFill>
                            <a:miter lim="800000"/>
                            <a:headEnd/>
                            <a:tailEnd/>
                          </a:ln>
                        </wps:spPr>
                        <wps:txbx>
                          <w:txbxContent>
                            <w:p w14:paraId="418B58CF" w14:textId="77777777" w:rsidR="00254DF6" w:rsidRDefault="00254DF6" w:rsidP="00457444">
                              <w:pPr>
                                <w:jc w:val="center"/>
                                <w:rPr>
                                  <w:rFonts w:ascii="Times New Roman" w:hAnsi="Times New Roman"/>
                                  <w:b/>
                                  <w:bCs/>
                                  <w:sz w:val="16"/>
                                  <w:szCs w:val="16"/>
                                </w:rPr>
                              </w:pPr>
                              <w:r>
                                <w:rPr>
                                  <w:rFonts w:ascii="Times New Roman" w:hAnsi="Times New Roman"/>
                                  <w:b/>
                                  <w:bCs/>
                                  <w:sz w:val="16"/>
                                  <w:szCs w:val="16"/>
                                </w:rPr>
                                <w:t>Problem Identification</w:t>
                              </w:r>
                            </w:p>
                          </w:txbxContent>
                        </wps:txbx>
                        <wps:bodyPr rot="0" vert="horz" wrap="square" lIns="91440" tIns="45720" rIns="91440" bIns="45720" anchor="t" anchorCtr="0" upright="1">
                          <a:noAutofit/>
                        </wps:bodyPr>
                      </wps:wsp>
                      <wps:wsp>
                        <wps:cNvPr id="532942980" name="Rectangle 13"/>
                        <wps:cNvSpPr>
                          <a:spLocks noChangeArrowheads="1"/>
                        </wps:cNvSpPr>
                        <wps:spPr bwMode="auto">
                          <a:xfrm>
                            <a:off x="0" y="527050"/>
                            <a:ext cx="1243965" cy="704850"/>
                          </a:xfrm>
                          <a:prstGeom prst="rect">
                            <a:avLst/>
                          </a:prstGeom>
                          <a:solidFill>
                            <a:srgbClr val="FFFFFF"/>
                          </a:solidFill>
                          <a:ln w="9525">
                            <a:solidFill>
                              <a:srgbClr val="000000"/>
                            </a:solidFill>
                            <a:miter lim="800000"/>
                            <a:headEnd/>
                            <a:tailEnd/>
                          </a:ln>
                        </wps:spPr>
                        <wps:txbx>
                          <w:txbxContent>
                            <w:p w14:paraId="6BD1ECA3" w14:textId="77777777" w:rsidR="00254DF6" w:rsidRPr="001150F1" w:rsidRDefault="00254DF6" w:rsidP="0003786E">
                              <w:pPr>
                                <w:spacing w:after="0"/>
                                <w:rPr>
                                  <w:rFonts w:ascii="Times New Roman" w:hAnsi="Times New Roman"/>
                                  <w:sz w:val="16"/>
                                  <w:szCs w:val="16"/>
                                </w:rPr>
                              </w:pPr>
                              <w:r>
                                <w:rPr>
                                  <w:rFonts w:ascii="Times New Roman" w:hAnsi="Times New Roman"/>
                                  <w:b/>
                                  <w:bCs/>
                                  <w:sz w:val="16"/>
                                  <w:szCs w:val="16"/>
                                </w:rPr>
                                <w:t>Data Collection Techniques</w:t>
                              </w:r>
                              <w:r>
                                <w:rPr>
                                  <w:rFonts w:ascii="Times New Roman" w:hAnsi="Times New Roman"/>
                                  <w:b/>
                                  <w:bCs/>
                                  <w:sz w:val="16"/>
                                  <w:szCs w:val="16"/>
                                </w:rPr>
                                <w:br/>
                              </w:r>
                              <w:r w:rsidRPr="001150F1">
                                <w:rPr>
                                  <w:rFonts w:ascii="Times New Roman" w:hAnsi="Times New Roman"/>
                                  <w:sz w:val="16"/>
                                  <w:szCs w:val="16"/>
                                </w:rPr>
                                <w:t xml:space="preserve">- Primary Data </w:t>
                              </w:r>
                            </w:p>
                            <w:p w14:paraId="6F702691" w14:textId="77777777" w:rsidR="00254DF6" w:rsidRPr="00C2456F" w:rsidRDefault="00254DF6" w:rsidP="0003786E">
                              <w:pPr>
                                <w:spacing w:after="0"/>
                                <w:rPr>
                                  <w:rFonts w:ascii="Times New Roman" w:hAnsi="Times New Roman"/>
                                  <w:sz w:val="16"/>
                                  <w:szCs w:val="16"/>
                                </w:rPr>
                              </w:pPr>
                              <w:r w:rsidRPr="001150F1">
                                <w:rPr>
                                  <w:rFonts w:ascii="Times New Roman" w:hAnsi="Times New Roman"/>
                                  <w:sz w:val="16"/>
                                  <w:szCs w:val="16"/>
                                </w:rPr>
                                <w:t>- Secondary Data</w:t>
                              </w:r>
                            </w:p>
                          </w:txbxContent>
                        </wps:txbx>
                        <wps:bodyPr rot="0" vert="horz" wrap="square" lIns="91440" tIns="45720" rIns="91440" bIns="45720" anchor="t" anchorCtr="0" upright="1">
                          <a:noAutofit/>
                        </wps:bodyPr>
                      </wps:wsp>
                      <wps:wsp>
                        <wps:cNvPr id="1198109915" name="Rectangle 14"/>
                        <wps:cNvSpPr>
                          <a:spLocks noChangeArrowheads="1"/>
                        </wps:cNvSpPr>
                        <wps:spPr bwMode="auto">
                          <a:xfrm>
                            <a:off x="12700" y="1428750"/>
                            <a:ext cx="1244331" cy="705398"/>
                          </a:xfrm>
                          <a:prstGeom prst="rect">
                            <a:avLst/>
                          </a:prstGeom>
                          <a:solidFill>
                            <a:srgbClr val="FFFFFF"/>
                          </a:solidFill>
                          <a:ln w="9525">
                            <a:solidFill>
                              <a:srgbClr val="000000"/>
                            </a:solidFill>
                            <a:miter lim="800000"/>
                            <a:headEnd/>
                            <a:tailEnd/>
                          </a:ln>
                        </wps:spPr>
                        <wps:txbx>
                          <w:txbxContent>
                            <w:p w14:paraId="3C02F033" w14:textId="77777777" w:rsidR="00830BA6" w:rsidRDefault="00254DF6" w:rsidP="0003786E">
                              <w:pPr>
                                <w:spacing w:after="0"/>
                                <w:rPr>
                                  <w:rFonts w:ascii="Times New Roman" w:hAnsi="Times New Roman"/>
                                  <w:sz w:val="16"/>
                                  <w:szCs w:val="16"/>
                                </w:rPr>
                              </w:pPr>
                              <w:r>
                                <w:rPr>
                                  <w:rFonts w:ascii="Times New Roman" w:hAnsi="Times New Roman"/>
                                  <w:b/>
                                  <w:bCs/>
                                  <w:sz w:val="16"/>
                                  <w:szCs w:val="16"/>
                                </w:rPr>
                                <w:t>Data Processing Techniques</w:t>
                              </w:r>
                              <w:r>
                                <w:rPr>
                                  <w:rFonts w:ascii="Times New Roman" w:hAnsi="Times New Roman"/>
                                  <w:b/>
                                  <w:bCs/>
                                  <w:sz w:val="16"/>
                                  <w:szCs w:val="16"/>
                                </w:rPr>
                                <w:br/>
                                <w:t xml:space="preserve">- </w:t>
                              </w:r>
                              <w:r>
                                <w:rPr>
                                  <w:rFonts w:ascii="Times New Roman" w:hAnsi="Times New Roman"/>
                                  <w:sz w:val="16"/>
                                  <w:szCs w:val="16"/>
                                </w:rPr>
                                <w:t>EOQ</w:t>
                              </w:r>
                            </w:p>
                            <w:p w14:paraId="34729AAE" w14:textId="765A7ED6" w:rsidR="00254DF6" w:rsidRDefault="00254DF6" w:rsidP="0003786E">
                              <w:pPr>
                                <w:spacing w:after="0"/>
                                <w:rPr>
                                  <w:rFonts w:ascii="Times New Roman" w:hAnsi="Times New Roman"/>
                                  <w:sz w:val="16"/>
                                  <w:szCs w:val="16"/>
                                </w:rPr>
                              </w:pPr>
                              <w:r>
                                <w:rPr>
                                  <w:rFonts w:ascii="Times New Roman" w:hAnsi="Times New Roman"/>
                                  <w:sz w:val="16"/>
                                  <w:szCs w:val="16"/>
                                </w:rPr>
                                <w:t xml:space="preserve">- </w:t>
                              </w:r>
                              <w:r w:rsidR="00830BA6">
                                <w:rPr>
                                  <w:rFonts w:ascii="Times New Roman" w:hAnsi="Times New Roman"/>
                                  <w:sz w:val="16"/>
                                  <w:szCs w:val="16"/>
                                </w:rPr>
                                <w:t xml:space="preserve">Safety Stock </w:t>
                              </w:r>
                            </w:p>
                            <w:p w14:paraId="08C0D8D9" w14:textId="77777777" w:rsidR="00830BA6" w:rsidRDefault="00254DF6" w:rsidP="00830BA6">
                              <w:pPr>
                                <w:spacing w:after="0"/>
                                <w:rPr>
                                  <w:rFonts w:ascii="Times New Roman" w:hAnsi="Times New Roman"/>
                                  <w:sz w:val="16"/>
                                  <w:szCs w:val="16"/>
                                </w:rPr>
                              </w:pPr>
                              <w:r>
                                <w:rPr>
                                  <w:rFonts w:ascii="Times New Roman" w:hAnsi="Times New Roman"/>
                                  <w:sz w:val="16"/>
                                  <w:szCs w:val="16"/>
                                </w:rPr>
                                <w:t xml:space="preserve">- </w:t>
                              </w:r>
                              <w:r w:rsidR="00830BA6">
                                <w:rPr>
                                  <w:rFonts w:ascii="Times New Roman" w:hAnsi="Times New Roman"/>
                                  <w:sz w:val="16"/>
                                  <w:szCs w:val="16"/>
                                </w:rPr>
                                <w:t>ROP</w:t>
                              </w:r>
                            </w:p>
                            <w:p w14:paraId="2BA4C979" w14:textId="694BAF1B" w:rsidR="00254DF6" w:rsidRDefault="00254DF6" w:rsidP="0003786E">
                              <w:pPr>
                                <w:spacing w:after="0"/>
                                <w:rPr>
                                  <w:rFonts w:ascii="Times New Roman" w:hAnsi="Times New Roman"/>
                                  <w:sz w:val="16"/>
                                  <w:szCs w:val="16"/>
                                </w:rPr>
                              </w:pPr>
                            </w:p>
                          </w:txbxContent>
                        </wps:txbx>
                        <wps:bodyPr rot="0" vert="horz" wrap="square" lIns="91440" tIns="45720" rIns="91440" bIns="45720" anchor="t" anchorCtr="0" upright="1">
                          <a:noAutofit/>
                        </wps:bodyPr>
                      </wps:wsp>
                      <wps:wsp>
                        <wps:cNvPr id="114153425" name="Rectangle 15"/>
                        <wps:cNvSpPr>
                          <a:spLocks noChangeArrowheads="1"/>
                        </wps:cNvSpPr>
                        <wps:spPr bwMode="auto">
                          <a:xfrm>
                            <a:off x="12700" y="2324100"/>
                            <a:ext cx="1243965" cy="298450"/>
                          </a:xfrm>
                          <a:prstGeom prst="rect">
                            <a:avLst/>
                          </a:prstGeom>
                          <a:solidFill>
                            <a:srgbClr val="FFFFFF"/>
                          </a:solidFill>
                          <a:ln w="9525">
                            <a:solidFill>
                              <a:srgbClr val="000000"/>
                            </a:solidFill>
                            <a:miter lim="800000"/>
                            <a:headEnd/>
                            <a:tailEnd/>
                          </a:ln>
                        </wps:spPr>
                        <wps:txbx>
                          <w:txbxContent>
                            <w:p w14:paraId="7B2ACFCB" w14:textId="77777777" w:rsidR="00254DF6" w:rsidRDefault="00254DF6" w:rsidP="00457444">
                              <w:pPr>
                                <w:jc w:val="center"/>
                                <w:rPr>
                                  <w:rFonts w:ascii="Times New Roman" w:hAnsi="Times New Roman"/>
                                  <w:b/>
                                  <w:bCs/>
                                  <w:sz w:val="16"/>
                                  <w:szCs w:val="16"/>
                                </w:rPr>
                              </w:pPr>
                              <w:r>
                                <w:rPr>
                                  <w:rFonts w:ascii="Times New Roman" w:hAnsi="Times New Roman"/>
                                  <w:b/>
                                  <w:bCs/>
                                  <w:sz w:val="16"/>
                                  <w:szCs w:val="16"/>
                                </w:rPr>
                                <w:t>Result and Discussion</w:t>
                              </w:r>
                            </w:p>
                          </w:txbxContent>
                        </wps:txbx>
                        <wps:bodyPr rot="0" vert="horz" wrap="square" lIns="91440" tIns="45720" rIns="91440" bIns="45720" anchor="t" anchorCtr="0" upright="1">
                          <a:noAutofit/>
                        </wps:bodyPr>
                      </wps:wsp>
                      <wps:wsp>
                        <wps:cNvPr id="581126222" name="Rectangle 16"/>
                        <wps:cNvSpPr>
                          <a:spLocks noChangeArrowheads="1"/>
                        </wps:cNvSpPr>
                        <wps:spPr bwMode="auto">
                          <a:xfrm>
                            <a:off x="12700" y="2813050"/>
                            <a:ext cx="1243965" cy="273050"/>
                          </a:xfrm>
                          <a:prstGeom prst="rect">
                            <a:avLst/>
                          </a:prstGeom>
                          <a:solidFill>
                            <a:srgbClr val="FFFFFF"/>
                          </a:solidFill>
                          <a:ln w="9525">
                            <a:solidFill>
                              <a:srgbClr val="000000"/>
                            </a:solidFill>
                            <a:miter lim="800000"/>
                            <a:headEnd/>
                            <a:tailEnd/>
                          </a:ln>
                        </wps:spPr>
                        <wps:txbx>
                          <w:txbxContent>
                            <w:p w14:paraId="19DAD505" w14:textId="77777777" w:rsidR="00254DF6" w:rsidRDefault="00254DF6" w:rsidP="00830BA6">
                              <w:pPr>
                                <w:jc w:val="center"/>
                                <w:rPr>
                                  <w:rFonts w:ascii="Times New Roman" w:hAnsi="Times New Roman"/>
                                  <w:b/>
                                  <w:bCs/>
                                  <w:sz w:val="16"/>
                                  <w:szCs w:val="16"/>
                                </w:rPr>
                              </w:pPr>
                              <w:r>
                                <w:rPr>
                                  <w:rFonts w:ascii="Times New Roman" w:hAnsi="Times New Roman"/>
                                  <w:b/>
                                  <w:bCs/>
                                  <w:sz w:val="16"/>
                                  <w:szCs w:val="16"/>
                                </w:rPr>
                                <w:t>Conclusion</w:t>
                              </w:r>
                            </w:p>
                          </w:txbxContent>
                        </wps:txbx>
                        <wps:bodyPr rot="0" vert="horz" wrap="square" lIns="91440" tIns="45720" rIns="91440" bIns="45720" anchor="t" anchorCtr="0" upright="1">
                          <a:noAutofit/>
                        </wps:bodyPr>
                      </wps:wsp>
                      <wps:wsp>
                        <wps:cNvPr id="662118753" name="Straight Arrow Connector 11"/>
                        <wps:cNvCnPr/>
                        <wps:spPr>
                          <a:xfrm>
                            <a:off x="628650" y="342900"/>
                            <a:ext cx="0" cy="1841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502224158" name="Straight Arrow Connector 11"/>
                        <wps:cNvCnPr/>
                        <wps:spPr>
                          <a:xfrm>
                            <a:off x="635000" y="1238250"/>
                            <a:ext cx="0" cy="1841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449047114" name="Straight Arrow Connector 11"/>
                        <wps:cNvCnPr/>
                        <wps:spPr>
                          <a:xfrm>
                            <a:off x="641350" y="2628900"/>
                            <a:ext cx="0" cy="1841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400473367" name="Straight Arrow Connector 11"/>
                        <wps:cNvCnPr/>
                        <wps:spPr>
                          <a:xfrm>
                            <a:off x="647700" y="2133600"/>
                            <a:ext cx="0" cy="1841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V relativeFrom="margin">
                  <wp14:pctHeight>0</wp14:pctHeight>
                </wp14:sizeRelV>
              </wp:anchor>
            </w:drawing>
          </mc:Choice>
          <mc:Fallback>
            <w:pict>
              <v:group w14:anchorId="2A1039BA" id="Group 12" o:spid="_x0000_s1027" style="position:absolute;left:0;text-align:left;margin-left:169.45pt;margin-top:1.55pt;width:99pt;height:242pt;z-index:251666432;mso-height-relative:margin" coordorigin=",127" coordsize="12570,30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">
                <v:rect id="Rectangle 12" o:spid="_x0000_s1028" style="position:absolute;left:952;top:444;width:10589;height:2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" strokecolor="white">
                  <v:textbox>
                    <w:txbxContent>
                      <w:p w14:paraId="3C848488" w14:textId="77777777" w:rsidR="00254DF6" w:rsidRDefault="00254DF6" w:rsidP="0003786E">
                        <w:pPr>
                          <w:rPr>
                            <w:b/>
                            <w:bCs/>
                            <w:sz w:val="8"/>
                            <w:szCs w:val="8"/>
                          </w:rPr>
                        </w:pPr>
                        <w:r>
                          <w:rPr>
                            <w:b/>
                            <w:bCs/>
                            <w:sz w:val="14"/>
                            <w:szCs w:val="14"/>
                          </w:rPr>
                          <w:t xml:space="preserve">Problem </w:t>
                        </w:r>
                        <w:proofErr w:type="spellStart"/>
                        <w:r>
                          <w:rPr>
                            <w:b/>
                            <w:bCs/>
                            <w:sz w:val="14"/>
                            <w:szCs w:val="14"/>
                          </w:rPr>
                          <w:t>Indentification</w:t>
                        </w:r>
                        <w:proofErr w:type="spellEnd"/>
                      </w:p>
                    </w:txbxContent>
                  </v:textbox>
                </v:rect>
                <v:rect id="Rectangle 17" o:spid="_x0000_s1029" style="position:absolute;top:127;width:12443;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">
                  <v:textbox>
                    <w:txbxContent>
                      <w:p w14:paraId="418B58CF" w14:textId="77777777" w:rsidR="00254DF6" w:rsidRDefault="00254DF6" w:rsidP="00457444">
                        <w:pPr>
                          <w:jc w:val="center"/>
                          <w:rPr>
                            <w:rFonts w:ascii="Times New Roman" w:hAnsi="Times New Roman"/>
                            <w:b/>
                            <w:bCs/>
                            <w:sz w:val="16"/>
                            <w:szCs w:val="16"/>
                          </w:rPr>
                        </w:pPr>
                        <w:r>
                          <w:rPr>
                            <w:rFonts w:ascii="Times New Roman" w:hAnsi="Times New Roman"/>
                            <w:b/>
                            <w:bCs/>
                            <w:sz w:val="16"/>
                            <w:szCs w:val="16"/>
                          </w:rPr>
                          <w:t>Problem Identification</w:t>
                        </w:r>
                      </w:p>
                    </w:txbxContent>
                  </v:textbox>
                </v:rect>
                <v:rect id="Rectangle 13" o:spid="_x0000_s1030" style="position:absolute;top:5270;width:12439;height:7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">
                  <v:textbox>
                    <w:txbxContent>
                      <w:p w14:paraId="6BD1ECA3" w14:textId="77777777" w:rsidR="00254DF6" w:rsidRPr="001150F1" w:rsidRDefault="00254DF6" w:rsidP="0003786E">
                        <w:pPr>
                          <w:spacing w:after="0"/>
                          <w:rPr>
                            <w:rFonts w:ascii="Times New Roman" w:hAnsi="Times New Roman"/>
                            <w:sz w:val="16"/>
                            <w:szCs w:val="16"/>
                          </w:rPr>
                        </w:pPr>
                        <w:r>
                          <w:rPr>
                            <w:rFonts w:ascii="Times New Roman" w:hAnsi="Times New Roman"/>
                            <w:b/>
                            <w:bCs/>
                            <w:sz w:val="16"/>
                            <w:szCs w:val="16"/>
                          </w:rPr>
                          <w:t>Data Collection Techniques</w:t>
                        </w:r>
                        <w:r>
                          <w:rPr>
                            <w:rFonts w:ascii="Times New Roman" w:hAnsi="Times New Roman"/>
                            <w:b/>
                            <w:bCs/>
                            <w:sz w:val="16"/>
                            <w:szCs w:val="16"/>
                          </w:rPr>
                          <w:br/>
                        </w:r>
                        <w:r w:rsidRPr="001150F1">
                          <w:rPr>
                            <w:rFonts w:ascii="Times New Roman" w:hAnsi="Times New Roman"/>
                            <w:sz w:val="16"/>
                            <w:szCs w:val="16"/>
                          </w:rPr>
                          <w:t xml:space="preserve">- Primary Data </w:t>
                        </w:r>
                      </w:p>
                      <w:p w14:paraId="6F702691" w14:textId="77777777" w:rsidR="00254DF6" w:rsidRPr="00C2456F" w:rsidRDefault="00254DF6" w:rsidP="0003786E">
                        <w:pPr>
                          <w:spacing w:after="0"/>
                          <w:rPr>
                            <w:rFonts w:ascii="Times New Roman" w:hAnsi="Times New Roman"/>
                            <w:sz w:val="16"/>
                            <w:szCs w:val="16"/>
                          </w:rPr>
                        </w:pPr>
                        <w:r w:rsidRPr="001150F1">
                          <w:rPr>
                            <w:rFonts w:ascii="Times New Roman" w:hAnsi="Times New Roman"/>
                            <w:sz w:val="16"/>
                            <w:szCs w:val="16"/>
                          </w:rPr>
                          <w:t>- Secondary Data</w:t>
                        </w:r>
                      </w:p>
                    </w:txbxContent>
                  </v:textbox>
                </v:rect>
                <v:rect id="Rectangle 14" o:spid="_x0000_s1031" style="position:absolute;left:127;top:14287;width:12443;height:7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">
                  <v:textbox>
                    <w:txbxContent>
                      <w:p w14:paraId="3C02F033" w14:textId="77777777" w:rsidR="00830BA6" w:rsidRDefault="00254DF6" w:rsidP="0003786E">
                        <w:pPr>
                          <w:spacing w:after="0"/>
                          <w:rPr>
                            <w:rFonts w:ascii="Times New Roman" w:hAnsi="Times New Roman"/>
                            <w:sz w:val="16"/>
                            <w:szCs w:val="16"/>
                          </w:rPr>
                        </w:pPr>
                        <w:r>
                          <w:rPr>
                            <w:rFonts w:ascii="Times New Roman" w:hAnsi="Times New Roman"/>
                            <w:b/>
                            <w:bCs/>
                            <w:sz w:val="16"/>
                            <w:szCs w:val="16"/>
                          </w:rPr>
                          <w:t>Data Processing Techniques</w:t>
                        </w:r>
                        <w:r>
                          <w:rPr>
                            <w:rFonts w:ascii="Times New Roman" w:hAnsi="Times New Roman"/>
                            <w:b/>
                            <w:bCs/>
                            <w:sz w:val="16"/>
                            <w:szCs w:val="16"/>
                          </w:rPr>
                          <w:br/>
                          <w:t xml:space="preserve">- </w:t>
                        </w:r>
                        <w:r>
                          <w:rPr>
                            <w:rFonts w:ascii="Times New Roman" w:hAnsi="Times New Roman"/>
                            <w:sz w:val="16"/>
                            <w:szCs w:val="16"/>
                          </w:rPr>
                          <w:t>EOQ</w:t>
                        </w:r>
                      </w:p>
                      <w:p w14:paraId="34729AAE" w14:textId="765A7ED6" w:rsidR="00254DF6" w:rsidRDefault="00254DF6" w:rsidP="0003786E">
                        <w:pPr>
                          <w:spacing w:after="0"/>
                          <w:rPr>
                            <w:rFonts w:ascii="Times New Roman" w:hAnsi="Times New Roman"/>
                            <w:sz w:val="16"/>
                            <w:szCs w:val="16"/>
                          </w:rPr>
                        </w:pPr>
                        <w:r>
                          <w:rPr>
                            <w:rFonts w:ascii="Times New Roman" w:hAnsi="Times New Roman"/>
                            <w:sz w:val="16"/>
                            <w:szCs w:val="16"/>
                          </w:rPr>
                          <w:t xml:space="preserve">- </w:t>
                        </w:r>
                        <w:r w:rsidR="00830BA6">
                          <w:rPr>
                            <w:rFonts w:ascii="Times New Roman" w:hAnsi="Times New Roman"/>
                            <w:sz w:val="16"/>
                            <w:szCs w:val="16"/>
                          </w:rPr>
                          <w:t xml:space="preserve">Safety Stock </w:t>
                        </w:r>
                      </w:p>
                      <w:p w14:paraId="08C0D8D9" w14:textId="77777777" w:rsidR="00830BA6" w:rsidRDefault="00254DF6" w:rsidP="00830BA6">
                        <w:pPr>
                          <w:spacing w:after="0"/>
                          <w:rPr>
                            <w:rFonts w:ascii="Times New Roman" w:hAnsi="Times New Roman"/>
                            <w:sz w:val="16"/>
                            <w:szCs w:val="16"/>
                          </w:rPr>
                        </w:pPr>
                        <w:r>
                          <w:rPr>
                            <w:rFonts w:ascii="Times New Roman" w:hAnsi="Times New Roman"/>
                            <w:sz w:val="16"/>
                            <w:szCs w:val="16"/>
                          </w:rPr>
                          <w:t xml:space="preserve">- </w:t>
                        </w:r>
                        <w:r w:rsidR="00830BA6">
                          <w:rPr>
                            <w:rFonts w:ascii="Times New Roman" w:hAnsi="Times New Roman"/>
                            <w:sz w:val="16"/>
                            <w:szCs w:val="16"/>
                          </w:rPr>
                          <w:t>ROP</w:t>
                        </w:r>
                      </w:p>
                      <w:p w14:paraId="2BA4C979" w14:textId="694BAF1B" w:rsidR="00254DF6" w:rsidRDefault="00254DF6" w:rsidP="0003786E">
                        <w:pPr>
                          <w:spacing w:after="0"/>
                          <w:rPr>
                            <w:rFonts w:ascii="Times New Roman" w:hAnsi="Times New Roman"/>
                            <w:sz w:val="16"/>
                            <w:szCs w:val="16"/>
                          </w:rPr>
                        </w:pPr>
                      </w:p>
                    </w:txbxContent>
                  </v:textbox>
                </v:rect>
                <v:rect id="Rectangle 15" o:spid="_x0000_s1032" style="position:absolute;left:127;top:23241;width:12439;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">
                  <v:textbox>
                    <w:txbxContent>
                      <w:p w14:paraId="7B2ACFCB" w14:textId="77777777" w:rsidR="00254DF6" w:rsidRDefault="00254DF6" w:rsidP="00457444">
                        <w:pPr>
                          <w:jc w:val="center"/>
                          <w:rPr>
                            <w:rFonts w:ascii="Times New Roman" w:hAnsi="Times New Roman"/>
                            <w:b/>
                            <w:bCs/>
                            <w:sz w:val="16"/>
                            <w:szCs w:val="16"/>
                          </w:rPr>
                        </w:pPr>
                        <w:r>
                          <w:rPr>
                            <w:rFonts w:ascii="Times New Roman" w:hAnsi="Times New Roman"/>
                            <w:b/>
                            <w:bCs/>
                            <w:sz w:val="16"/>
                            <w:szCs w:val="16"/>
                          </w:rPr>
                          <w:t>Result and Discussion</w:t>
                        </w:r>
                      </w:p>
                    </w:txbxContent>
                  </v:textbox>
                </v:rect>
                <v:rect id="Rectangle 16" o:spid="_x0000_s1033" style="position:absolute;left:127;top:28130;width:12439;height: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">
                  <v:textbox>
                    <w:txbxContent>
                      <w:p w14:paraId="19DAD505" w14:textId="77777777" w:rsidR="00254DF6" w:rsidRDefault="00254DF6" w:rsidP="00830BA6">
                        <w:pPr>
                          <w:jc w:val="center"/>
                          <w:rPr>
                            <w:rFonts w:ascii="Times New Roman" w:hAnsi="Times New Roman"/>
                            <w:b/>
                            <w:bCs/>
                            <w:sz w:val="16"/>
                            <w:szCs w:val="16"/>
                          </w:rPr>
                        </w:pPr>
                        <w:r>
                          <w:rPr>
                            <w:rFonts w:ascii="Times New Roman" w:hAnsi="Times New Roman"/>
                            <w:b/>
                            <w:bCs/>
                            <w:sz w:val="16"/>
                            <w:szCs w:val="16"/>
                          </w:rPr>
                          <w:t>Conclusion</w:t>
                        </w:r>
                      </w:p>
                    </w:txbxContent>
                  </v:textbox>
                </v:rect>
                <v:shapetype id="_x0000_t32" coordsize="21600,21600" o:spt="32" o:oned="t" path="m,l21600,21600e" filled="f">
                  <v:path arrowok="t" fillok="f" o:connecttype="none"/>
                  <o:lock v:ext="edit" shapetype="t"/>
                </v:shapetype>
                <v:shape id="Straight Arrow Connector 11" o:spid="_x0000_s1034" type="#_x0000_t32" style="position:absolute;left:6286;top:3429;width:0;height:18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" strokecolor="black [3200]" strokeweight="1.5pt">
                  <v:stroke endarrow="block" joinstyle="miter"/>
                </v:shape>
                <v:shape id="Straight Arrow Connector 11" o:spid="_x0000_s1035" type="#_x0000_t32" style="position:absolute;left:6350;top:12382;width:0;height:1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" strokecolor="black [3200]" strokeweight="1.5pt">
                  <v:stroke endarrow="block" joinstyle="miter"/>
                </v:shape>
                <v:shape id="Straight Arrow Connector 11" o:spid="_x0000_s1036" type="#_x0000_t32" style="position:absolute;left:6413;top:26289;width:0;height:18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" strokecolor="black [3200]" strokeweight="1.5pt">
                  <v:stroke endarrow="block" joinstyle="miter"/>
                </v:shape>
                <v:shape id="Straight Arrow Connector 11" o:spid="_x0000_s1037" type="#_x0000_t32" style="position:absolute;left:6477;top:21336;width:0;height:18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" strokecolor="black [3200]" strokeweight="1.5pt">
                  <v:stroke endarrow="block" joinstyle="miter"/>
                </v:shape>
              </v:group>
            </w:pict>
          </mc:Fallback>
        </mc:AlternateContent>
      </w:r>
    </w:p>
    <w:p w14:paraId="0813281F" w14:textId="17899A71" w:rsidR="00254DF6" w:rsidRDefault="00254DF6" w:rsidP="0003786E">
      <w:pPr>
        <w:spacing w:after="0" w:line="276" w:lineRule="auto"/>
        <w:ind w:firstLine="567"/>
        <w:jc w:val="center"/>
        <w:rPr>
          <w:lang w:eastAsia="en-ID"/>
        </w:rPr>
      </w:pPr>
    </w:p>
    <w:p w14:paraId="7EA01CA8" w14:textId="30FF3803" w:rsidR="00830BA6" w:rsidRDefault="00830BA6" w:rsidP="0003786E">
      <w:pPr>
        <w:spacing w:after="0" w:line="276" w:lineRule="auto"/>
        <w:ind w:firstLine="567"/>
        <w:jc w:val="center"/>
        <w:rPr>
          <w:lang w:eastAsia="en-ID"/>
        </w:rPr>
      </w:pPr>
    </w:p>
    <w:p w14:paraId="27743F94" w14:textId="20796C7E" w:rsidR="00830BA6" w:rsidRDefault="00830BA6" w:rsidP="0003786E">
      <w:pPr>
        <w:spacing w:after="0" w:line="276" w:lineRule="auto"/>
        <w:ind w:firstLine="567"/>
        <w:jc w:val="center"/>
        <w:rPr>
          <w:lang w:eastAsia="en-ID"/>
        </w:rPr>
      </w:pPr>
    </w:p>
    <w:p w14:paraId="49236021" w14:textId="72DBF4FA" w:rsidR="00830BA6" w:rsidRDefault="00830BA6" w:rsidP="0003786E">
      <w:pPr>
        <w:spacing w:after="0" w:line="276" w:lineRule="auto"/>
        <w:ind w:firstLine="567"/>
        <w:jc w:val="center"/>
        <w:rPr>
          <w:lang w:eastAsia="en-ID"/>
        </w:rPr>
      </w:pPr>
    </w:p>
    <w:p w14:paraId="035D1D51" w14:textId="051321EA" w:rsidR="00830BA6" w:rsidRDefault="00830BA6" w:rsidP="0003786E">
      <w:pPr>
        <w:spacing w:after="0" w:line="276" w:lineRule="auto"/>
        <w:ind w:firstLine="567"/>
        <w:jc w:val="center"/>
        <w:rPr>
          <w:lang w:eastAsia="en-ID"/>
        </w:rPr>
      </w:pPr>
    </w:p>
    <w:p w14:paraId="2872731C" w14:textId="09E5BA7D" w:rsidR="00830BA6" w:rsidRDefault="00830BA6" w:rsidP="0003786E">
      <w:pPr>
        <w:spacing w:after="0" w:line="276" w:lineRule="auto"/>
        <w:ind w:firstLine="567"/>
        <w:jc w:val="center"/>
        <w:rPr>
          <w:lang w:eastAsia="en-ID"/>
        </w:rPr>
      </w:pPr>
    </w:p>
    <w:p w14:paraId="0271524E" w14:textId="66E82BA2" w:rsidR="00830BA6" w:rsidRDefault="00830BA6" w:rsidP="0003786E">
      <w:pPr>
        <w:spacing w:after="0" w:line="276" w:lineRule="auto"/>
        <w:ind w:firstLine="567"/>
        <w:jc w:val="center"/>
        <w:rPr>
          <w:lang w:eastAsia="en-ID"/>
        </w:rPr>
      </w:pPr>
    </w:p>
    <w:p w14:paraId="543D563C" w14:textId="25F88F80" w:rsidR="00830BA6" w:rsidRDefault="00830BA6" w:rsidP="0003786E">
      <w:pPr>
        <w:spacing w:after="0" w:line="276" w:lineRule="auto"/>
        <w:ind w:firstLine="567"/>
        <w:jc w:val="center"/>
        <w:rPr>
          <w:lang w:eastAsia="en-ID"/>
        </w:rPr>
      </w:pPr>
    </w:p>
    <w:p w14:paraId="4A0618F6" w14:textId="1C31ACD3" w:rsidR="00830BA6" w:rsidRDefault="00830BA6" w:rsidP="0003786E">
      <w:pPr>
        <w:spacing w:after="0" w:line="276" w:lineRule="auto"/>
        <w:ind w:firstLine="567"/>
        <w:jc w:val="center"/>
        <w:rPr>
          <w:lang w:eastAsia="en-ID"/>
        </w:rPr>
      </w:pPr>
    </w:p>
    <w:p w14:paraId="61D24CD1" w14:textId="483A96FD" w:rsidR="00830BA6" w:rsidRDefault="00830BA6" w:rsidP="0003786E">
      <w:pPr>
        <w:spacing w:after="0" w:line="276" w:lineRule="auto"/>
        <w:ind w:firstLine="567"/>
        <w:jc w:val="center"/>
        <w:rPr>
          <w:lang w:eastAsia="en-ID"/>
        </w:rPr>
      </w:pPr>
    </w:p>
    <w:p w14:paraId="4CD45BBF" w14:textId="5C7F77A8" w:rsidR="00830BA6" w:rsidRDefault="00830BA6" w:rsidP="0003786E">
      <w:pPr>
        <w:spacing w:after="0" w:line="276" w:lineRule="auto"/>
        <w:ind w:firstLine="567"/>
        <w:jc w:val="center"/>
        <w:rPr>
          <w:lang w:eastAsia="en-ID"/>
        </w:rPr>
      </w:pPr>
    </w:p>
    <w:p w14:paraId="1F5792A2" w14:textId="5221A4A3" w:rsidR="00830BA6" w:rsidRDefault="00830BA6" w:rsidP="0003786E">
      <w:pPr>
        <w:spacing w:after="0" w:line="276" w:lineRule="auto"/>
        <w:ind w:firstLine="567"/>
        <w:jc w:val="center"/>
        <w:rPr>
          <w:lang w:eastAsia="en-ID"/>
        </w:rPr>
      </w:pPr>
    </w:p>
    <w:p w14:paraId="72DEE575" w14:textId="3C0B64FF" w:rsidR="00830BA6" w:rsidRDefault="00830BA6" w:rsidP="0003786E">
      <w:pPr>
        <w:spacing w:after="0" w:line="276" w:lineRule="auto"/>
        <w:ind w:firstLine="567"/>
        <w:jc w:val="center"/>
        <w:rPr>
          <w:lang w:eastAsia="en-ID"/>
        </w:rPr>
      </w:pPr>
    </w:p>
    <w:p w14:paraId="18EC81A5" w14:textId="593F7DE7" w:rsidR="00830BA6" w:rsidRDefault="00830BA6" w:rsidP="0003786E">
      <w:pPr>
        <w:spacing w:after="0" w:line="276" w:lineRule="auto"/>
        <w:ind w:firstLine="567"/>
        <w:jc w:val="center"/>
        <w:rPr>
          <w:lang w:eastAsia="en-ID"/>
        </w:rPr>
      </w:pPr>
    </w:p>
    <w:p w14:paraId="39EA1BB5" w14:textId="77777777" w:rsidR="00830BA6" w:rsidRDefault="00830BA6" w:rsidP="0003786E">
      <w:pPr>
        <w:spacing w:after="0" w:line="276" w:lineRule="auto"/>
        <w:ind w:firstLine="567"/>
        <w:jc w:val="center"/>
        <w:rPr>
          <w:lang w:eastAsia="en-ID"/>
        </w:rPr>
      </w:pPr>
    </w:p>
    <w:p w14:paraId="61F6F4E4" w14:textId="77777777" w:rsidR="00254DF6" w:rsidRPr="003D7A01" w:rsidRDefault="00254DF6" w:rsidP="00457444">
      <w:pPr>
        <w:pStyle w:val="figurecaption"/>
        <w:tabs>
          <w:tab w:val="clear" w:pos="533"/>
          <w:tab w:val="left" w:pos="0"/>
        </w:tabs>
        <w:spacing w:before="120" w:after="0"/>
        <w:rPr>
          <w:rFonts w:ascii="Times New Roman" w:eastAsia="MS Mincho" w:hAnsi="Times New Roman"/>
        </w:rPr>
      </w:pPr>
      <w:r w:rsidRPr="003D7A01">
        <w:rPr>
          <w:rFonts w:ascii="Times New Roman" w:eastAsia="MS Mincho" w:hAnsi="Times New Roman"/>
        </w:rPr>
        <w:t>Research Flow</w:t>
      </w:r>
    </w:p>
    <w:p w14:paraId="2CDF1DD0" w14:textId="77777777" w:rsidR="00254DF6" w:rsidRPr="003D7A01" w:rsidRDefault="00254DF6" w:rsidP="0003786E">
      <w:pPr>
        <w:pStyle w:val="Body"/>
        <w:ind w:firstLine="360"/>
        <w:rPr>
          <w:sz w:val="24"/>
          <w:szCs w:val="24"/>
        </w:rPr>
      </w:pPr>
    </w:p>
    <w:p w14:paraId="06877441" w14:textId="77777777" w:rsidR="00254DF6" w:rsidRPr="00E16CB6" w:rsidRDefault="00254DF6" w:rsidP="00BF08BD">
      <w:pPr>
        <w:pStyle w:val="Body"/>
        <w:numPr>
          <w:ilvl w:val="0"/>
          <w:numId w:val="1"/>
        </w:numPr>
        <w:tabs>
          <w:tab w:val="left" w:pos="284"/>
        </w:tabs>
        <w:rPr>
          <w:b/>
          <w:bCs/>
          <w:sz w:val="22"/>
          <w:szCs w:val="22"/>
          <w:lang w:eastAsia="en-US"/>
        </w:rPr>
      </w:pPr>
      <w:r w:rsidRPr="00E16CB6">
        <w:rPr>
          <w:b/>
          <w:bCs/>
          <w:sz w:val="22"/>
          <w:szCs w:val="22"/>
          <w:lang w:eastAsia="en-US"/>
        </w:rPr>
        <w:t>Results and Discussion</w:t>
      </w:r>
    </w:p>
    <w:p w14:paraId="1583A43A" w14:textId="77777777" w:rsidR="00254DF6" w:rsidRPr="003D7A01" w:rsidRDefault="00254DF6" w:rsidP="0003786E">
      <w:pPr>
        <w:pStyle w:val="BodyText"/>
        <w:ind w:firstLine="0"/>
        <w:rPr>
          <w:b/>
          <w:bCs/>
          <w:sz w:val="20"/>
        </w:rPr>
      </w:pPr>
      <w:r w:rsidRPr="003D7A01">
        <w:rPr>
          <w:b/>
          <w:bCs/>
          <w:sz w:val="20"/>
        </w:rPr>
        <w:t>3.1 Characteristics of SMEs</w:t>
      </w:r>
    </w:p>
    <w:p w14:paraId="76400AE7" w14:textId="54E2646C" w:rsidR="00254DF6" w:rsidRPr="003D7A01" w:rsidRDefault="00254DF6" w:rsidP="00F140C0">
      <w:pPr>
        <w:pStyle w:val="BodyText"/>
        <w:spacing w:after="0" w:line="276" w:lineRule="auto"/>
        <w:ind w:firstLine="567"/>
        <w:rPr>
          <w:sz w:val="20"/>
        </w:rPr>
      </w:pPr>
      <w:r w:rsidRPr="003D7A01">
        <w:rPr>
          <w:sz w:val="20"/>
        </w:rPr>
        <w:t xml:space="preserve">Tempeh Galang is small and medium enterprise (SME) operating in the tempeh manufacturing. The SME located in Bandar </w:t>
      </w:r>
      <w:r w:rsidRPr="00F140C0">
        <w:rPr>
          <w:color w:val="000000"/>
          <w:sz w:val="20"/>
          <w:szCs w:val="18"/>
        </w:rPr>
        <w:t>Lampung</w:t>
      </w:r>
      <w:r w:rsidRPr="003D7A01">
        <w:rPr>
          <w:sz w:val="20"/>
        </w:rPr>
        <w:t>, Lampung Province. The enterprises established in 2018 and currently maintains a daily production output of 850 pieces of tempeh. The operation of industry supported by 3 employees included the owner. The enterprise conducts its tempeh production manually including its inventory management. The annual capacity of SME is 4000 – 5500 kg of raw material. The daily procurement capacity of soybeans for this enterprise reaches 30–45 kg</w:t>
      </w:r>
      <w:r w:rsidR="00C34D68" w:rsidRPr="003D7A01">
        <w:rPr>
          <w:sz w:val="20"/>
        </w:rPr>
        <w:t xml:space="preserve">. </w:t>
      </w:r>
      <w:r w:rsidRPr="003D7A01">
        <w:rPr>
          <w:sz w:val="20"/>
        </w:rPr>
        <w:t xml:space="preserve">The enterprise </w:t>
      </w:r>
      <w:r w:rsidR="00727D3C" w:rsidRPr="003D7A01">
        <w:rPr>
          <w:sz w:val="20"/>
        </w:rPr>
        <w:t>conducts</w:t>
      </w:r>
      <w:r w:rsidRPr="003D7A01">
        <w:rPr>
          <w:sz w:val="20"/>
        </w:rPr>
        <w:t xml:space="preserve"> its tempeh production manually, including its inventory management. </w:t>
      </w:r>
    </w:p>
    <w:p w14:paraId="11EF24D9" w14:textId="77777777" w:rsidR="00254DF6" w:rsidRPr="003D7A01" w:rsidRDefault="00254DF6" w:rsidP="0003786E">
      <w:pPr>
        <w:pStyle w:val="BodyText"/>
        <w:ind w:firstLine="0"/>
        <w:rPr>
          <w:sz w:val="20"/>
        </w:rPr>
      </w:pPr>
    </w:p>
    <w:p w14:paraId="1E656616" w14:textId="77777777" w:rsidR="00254DF6" w:rsidRPr="003D7A01" w:rsidRDefault="00254DF6" w:rsidP="0003786E">
      <w:pPr>
        <w:pStyle w:val="BodyText"/>
        <w:ind w:firstLine="0"/>
        <w:rPr>
          <w:b/>
          <w:bCs/>
          <w:sz w:val="20"/>
        </w:rPr>
      </w:pPr>
      <w:r w:rsidRPr="003D7A01">
        <w:rPr>
          <w:b/>
          <w:bCs/>
          <w:sz w:val="20"/>
        </w:rPr>
        <w:t>3.2 Raw Material Purchase History</w:t>
      </w:r>
    </w:p>
    <w:p w14:paraId="330A17E2" w14:textId="77777777" w:rsidR="00254DF6" w:rsidRDefault="00254DF6" w:rsidP="00F140C0">
      <w:pPr>
        <w:pStyle w:val="BodyText"/>
        <w:spacing w:after="0" w:line="276" w:lineRule="auto"/>
        <w:ind w:firstLine="567"/>
        <w:rPr>
          <w:sz w:val="20"/>
        </w:rPr>
      </w:pPr>
      <w:r w:rsidRPr="003D7A01">
        <w:rPr>
          <w:sz w:val="20"/>
        </w:rPr>
        <w:t>The results of observations and interviews indicate that the procurement process for soybean raw materials at Tempe Galang has not been based on an optimal order quantity calculation. This inaccuracy in determining the order quantity leads to inventory inefficiency, which is reflected in the high holding costs incurred. The purchasing data of Tempe Galang is presented in Table 1.</w:t>
      </w:r>
    </w:p>
    <w:p w14:paraId="7202E757" w14:textId="77777777" w:rsidR="00465A26" w:rsidRPr="003D7A01" w:rsidRDefault="00465A26" w:rsidP="00465A26">
      <w:pPr>
        <w:pStyle w:val="BodyText"/>
        <w:spacing w:after="0" w:line="276" w:lineRule="auto"/>
        <w:ind w:firstLine="567"/>
        <w:rPr>
          <w:sz w:val="20"/>
        </w:rPr>
      </w:pPr>
      <w:r w:rsidRPr="003D7A01">
        <w:rPr>
          <w:sz w:val="20"/>
        </w:rPr>
        <w:t>Raw material purchases during the period from June 2024 to April 2025 were recorded at a total of 141 orders. From June to October 2024, orders were placed only once, with a quantity of 1,000 kg. This amount exceeded the available storage capacity (100 kg), resulting in excess inventory and causing raw material damage of 17 kg over five months. Subsequently, from November to December 2024, the ordering strategy changed to a frequency of 10 times per month with an average quantity of 15 kg per transaction. Entering 2025, increased production capacity led to a shift in the procurement pattern, with orders placed daily in quantities ranging from 30 to 45 kg per order.</w:t>
      </w:r>
    </w:p>
    <w:p w14:paraId="2543144B" w14:textId="77777777" w:rsidR="00254DF6" w:rsidRPr="00465A26" w:rsidRDefault="00254DF6" w:rsidP="0003786E">
      <w:pPr>
        <w:pStyle w:val="tablehead"/>
        <w:numPr>
          <w:ilvl w:val="0"/>
          <w:numId w:val="0"/>
        </w:numPr>
        <w:spacing w:before="120"/>
        <w:ind w:left="357"/>
        <w:rPr>
          <w:rFonts w:ascii="Times New Roman" w:eastAsia="MS Mincho" w:hAnsi="Times New Roman"/>
          <w:spacing w:val="-1"/>
        </w:rPr>
      </w:pPr>
      <w:r w:rsidRPr="00465A26">
        <w:rPr>
          <w:rFonts w:ascii="Times New Roman" w:hAnsi="Times New Roman"/>
          <w:b/>
          <w:bCs/>
        </w:rPr>
        <w:t xml:space="preserve">Table 1. </w:t>
      </w:r>
      <w:r w:rsidRPr="00465A26">
        <w:rPr>
          <w:rFonts w:ascii="Times New Roman" w:hAnsi="Times New Roman"/>
        </w:rPr>
        <w:t>Raw Material Purchase Data in 2024-2025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74"/>
        <w:gridCol w:w="1506"/>
        <w:gridCol w:w="1259"/>
        <w:gridCol w:w="976"/>
        <w:gridCol w:w="1036"/>
        <w:gridCol w:w="939"/>
      </w:tblGrid>
      <w:tr w:rsidR="00254DF6" w:rsidRPr="00465A26" w14:paraId="73E342CA" w14:textId="77777777" w:rsidTr="00E21C70">
        <w:trPr>
          <w:trHeight w:val="157"/>
          <w:tblHeader/>
          <w:jc w:val="center"/>
        </w:trPr>
        <w:tc>
          <w:tcPr>
            <w:tcW w:w="1374" w:type="dxa"/>
            <w:vAlign w:val="center"/>
          </w:tcPr>
          <w:p w14:paraId="196E36E6" w14:textId="77777777" w:rsidR="00254DF6" w:rsidRPr="00465A26" w:rsidRDefault="00254DF6" w:rsidP="00465A26">
            <w:pPr>
              <w:spacing w:after="0" w:line="240" w:lineRule="auto"/>
              <w:jc w:val="center"/>
              <w:rPr>
                <w:rFonts w:ascii="Times New Roman" w:hAnsi="Times New Roman"/>
                <w:b/>
                <w:bCs/>
                <w:sz w:val="18"/>
                <w:szCs w:val="18"/>
                <w:lang w:eastAsia="ja-JP"/>
              </w:rPr>
            </w:pPr>
            <w:r w:rsidRPr="00465A26">
              <w:rPr>
                <w:rFonts w:ascii="Times New Roman" w:hAnsi="Times New Roman"/>
                <w:b/>
                <w:bCs/>
                <w:sz w:val="18"/>
                <w:szCs w:val="18"/>
                <w:lang w:eastAsia="ja-JP"/>
              </w:rPr>
              <w:t>Month</w:t>
            </w:r>
          </w:p>
        </w:tc>
        <w:tc>
          <w:tcPr>
            <w:tcW w:w="1506" w:type="dxa"/>
            <w:vAlign w:val="center"/>
          </w:tcPr>
          <w:p w14:paraId="343CCB21" w14:textId="77777777" w:rsidR="00254DF6" w:rsidRPr="00465A26" w:rsidRDefault="00254DF6" w:rsidP="00465A26">
            <w:pPr>
              <w:spacing w:after="0" w:line="240" w:lineRule="auto"/>
              <w:jc w:val="center"/>
              <w:rPr>
                <w:rFonts w:ascii="Times New Roman" w:hAnsi="Times New Roman"/>
                <w:b/>
                <w:bCs/>
                <w:sz w:val="18"/>
                <w:szCs w:val="18"/>
                <w:lang w:eastAsia="ja-JP"/>
              </w:rPr>
            </w:pPr>
            <w:r w:rsidRPr="00465A26">
              <w:rPr>
                <w:rFonts w:ascii="Times New Roman" w:hAnsi="Times New Roman"/>
                <w:b/>
                <w:bCs/>
                <w:sz w:val="18"/>
                <w:szCs w:val="18"/>
                <w:lang w:eastAsia="ja-JP"/>
              </w:rPr>
              <w:t>Purchase (kg)</w:t>
            </w:r>
          </w:p>
        </w:tc>
        <w:tc>
          <w:tcPr>
            <w:tcW w:w="1259" w:type="dxa"/>
            <w:vAlign w:val="center"/>
          </w:tcPr>
          <w:p w14:paraId="1B4985F6" w14:textId="77777777" w:rsidR="00254DF6" w:rsidRPr="00465A26" w:rsidRDefault="00254DF6" w:rsidP="00465A26">
            <w:pPr>
              <w:spacing w:after="0" w:line="240" w:lineRule="auto"/>
              <w:jc w:val="center"/>
              <w:rPr>
                <w:rFonts w:ascii="Times New Roman" w:hAnsi="Times New Roman"/>
                <w:b/>
                <w:bCs/>
                <w:sz w:val="18"/>
                <w:szCs w:val="18"/>
                <w:lang w:eastAsia="ja-JP"/>
              </w:rPr>
            </w:pPr>
            <w:r w:rsidRPr="00465A26">
              <w:rPr>
                <w:rFonts w:ascii="Times New Roman" w:hAnsi="Times New Roman"/>
                <w:b/>
                <w:bCs/>
                <w:sz w:val="18"/>
                <w:szCs w:val="18"/>
                <w:lang w:eastAsia="ja-JP"/>
              </w:rPr>
              <w:t>Monthly Usage (kg)</w:t>
            </w:r>
          </w:p>
        </w:tc>
        <w:tc>
          <w:tcPr>
            <w:tcW w:w="938" w:type="dxa"/>
            <w:vAlign w:val="center"/>
          </w:tcPr>
          <w:p w14:paraId="6EA4E117" w14:textId="77777777" w:rsidR="00254DF6" w:rsidRPr="00465A26" w:rsidRDefault="00254DF6" w:rsidP="00465A26">
            <w:pPr>
              <w:spacing w:after="0" w:line="240" w:lineRule="auto"/>
              <w:jc w:val="center"/>
              <w:rPr>
                <w:rFonts w:ascii="Times New Roman" w:hAnsi="Times New Roman"/>
                <w:b/>
                <w:bCs/>
                <w:sz w:val="18"/>
                <w:szCs w:val="18"/>
                <w:lang w:eastAsia="ja-JP"/>
              </w:rPr>
            </w:pPr>
            <w:r w:rsidRPr="00465A26">
              <w:rPr>
                <w:rFonts w:ascii="Times New Roman" w:hAnsi="Times New Roman"/>
                <w:b/>
                <w:bCs/>
                <w:sz w:val="18"/>
                <w:szCs w:val="18"/>
                <w:lang w:eastAsia="ja-JP"/>
              </w:rPr>
              <w:t>Ending Inventory (kg)</w:t>
            </w:r>
          </w:p>
        </w:tc>
        <w:tc>
          <w:tcPr>
            <w:tcW w:w="945" w:type="dxa"/>
            <w:vAlign w:val="center"/>
          </w:tcPr>
          <w:p w14:paraId="465C2E6F" w14:textId="77777777" w:rsidR="00254DF6" w:rsidRPr="00465A26" w:rsidRDefault="00254DF6" w:rsidP="00465A26">
            <w:pPr>
              <w:spacing w:after="0" w:line="240" w:lineRule="auto"/>
              <w:jc w:val="center"/>
              <w:rPr>
                <w:rFonts w:ascii="Times New Roman" w:hAnsi="Times New Roman"/>
                <w:b/>
                <w:bCs/>
                <w:sz w:val="18"/>
                <w:szCs w:val="18"/>
                <w:lang w:eastAsia="ja-JP"/>
              </w:rPr>
            </w:pPr>
            <w:r w:rsidRPr="00465A26">
              <w:rPr>
                <w:rFonts w:ascii="Times New Roman" w:hAnsi="Times New Roman"/>
                <w:b/>
                <w:bCs/>
                <w:sz w:val="18"/>
                <w:szCs w:val="18"/>
                <w:lang w:eastAsia="ja-JP"/>
              </w:rPr>
              <w:t>Purchase Frequency (Times)</w:t>
            </w:r>
          </w:p>
        </w:tc>
        <w:tc>
          <w:tcPr>
            <w:tcW w:w="939" w:type="dxa"/>
            <w:vAlign w:val="center"/>
          </w:tcPr>
          <w:p w14:paraId="596E348F" w14:textId="77777777" w:rsidR="00254DF6" w:rsidRPr="00465A26" w:rsidRDefault="00254DF6" w:rsidP="00465A26">
            <w:pPr>
              <w:spacing w:after="0" w:line="240" w:lineRule="auto"/>
              <w:jc w:val="center"/>
              <w:rPr>
                <w:rFonts w:ascii="Times New Roman" w:hAnsi="Times New Roman"/>
                <w:b/>
                <w:bCs/>
                <w:sz w:val="18"/>
                <w:szCs w:val="18"/>
                <w:lang w:eastAsia="ja-JP"/>
              </w:rPr>
            </w:pPr>
            <w:r w:rsidRPr="00465A26">
              <w:rPr>
                <w:rFonts w:ascii="Times New Roman" w:hAnsi="Times New Roman"/>
                <w:b/>
                <w:bCs/>
                <w:sz w:val="18"/>
                <w:szCs w:val="18"/>
                <w:lang w:eastAsia="ja-JP"/>
              </w:rPr>
              <w:t>Raw Material Damage (%)</w:t>
            </w:r>
          </w:p>
        </w:tc>
      </w:tr>
      <w:tr w:rsidR="00254DF6" w:rsidRPr="00465A26" w14:paraId="07E994A6" w14:textId="77777777" w:rsidTr="00E21C70">
        <w:trPr>
          <w:trHeight w:val="157"/>
          <w:jc w:val="center"/>
        </w:trPr>
        <w:tc>
          <w:tcPr>
            <w:tcW w:w="1374" w:type="dxa"/>
            <w:vAlign w:val="center"/>
          </w:tcPr>
          <w:p w14:paraId="70862E59"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June 2024</w:t>
            </w:r>
          </w:p>
        </w:tc>
        <w:tc>
          <w:tcPr>
            <w:tcW w:w="1506" w:type="dxa"/>
            <w:vMerge w:val="restart"/>
            <w:vAlign w:val="center"/>
          </w:tcPr>
          <w:p w14:paraId="66AD0CFB"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1.000</w:t>
            </w:r>
          </w:p>
        </w:tc>
        <w:tc>
          <w:tcPr>
            <w:tcW w:w="1259" w:type="dxa"/>
            <w:vAlign w:val="center"/>
          </w:tcPr>
          <w:p w14:paraId="17D7F4BE"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200</w:t>
            </w:r>
          </w:p>
        </w:tc>
        <w:tc>
          <w:tcPr>
            <w:tcW w:w="938" w:type="dxa"/>
            <w:vAlign w:val="center"/>
          </w:tcPr>
          <w:p w14:paraId="52D4E4A7"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800</w:t>
            </w:r>
          </w:p>
        </w:tc>
        <w:tc>
          <w:tcPr>
            <w:tcW w:w="945" w:type="dxa"/>
            <w:vMerge w:val="restart"/>
            <w:vAlign w:val="center"/>
          </w:tcPr>
          <w:p w14:paraId="4C54CD62"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w:t>
            </w:r>
          </w:p>
        </w:tc>
        <w:tc>
          <w:tcPr>
            <w:tcW w:w="939" w:type="dxa"/>
            <w:vMerge w:val="restart"/>
            <w:vAlign w:val="center"/>
          </w:tcPr>
          <w:p w14:paraId="6C5805F6"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1,7%</w:t>
            </w:r>
          </w:p>
        </w:tc>
      </w:tr>
      <w:tr w:rsidR="00254DF6" w:rsidRPr="00465A26" w14:paraId="4FE27603" w14:textId="77777777" w:rsidTr="00E21C70">
        <w:trPr>
          <w:trHeight w:val="157"/>
          <w:jc w:val="center"/>
        </w:trPr>
        <w:tc>
          <w:tcPr>
            <w:tcW w:w="1374" w:type="dxa"/>
            <w:vAlign w:val="center"/>
          </w:tcPr>
          <w:p w14:paraId="26F85589"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July 2024</w:t>
            </w:r>
          </w:p>
        </w:tc>
        <w:tc>
          <w:tcPr>
            <w:tcW w:w="1506" w:type="dxa"/>
            <w:vMerge/>
            <w:vAlign w:val="center"/>
          </w:tcPr>
          <w:p w14:paraId="1FF62936" w14:textId="77777777" w:rsidR="00254DF6" w:rsidRPr="00465A26" w:rsidRDefault="00254DF6" w:rsidP="00E21C70">
            <w:pPr>
              <w:spacing w:after="0" w:line="240" w:lineRule="auto"/>
              <w:rPr>
                <w:rFonts w:ascii="Times New Roman" w:hAnsi="Times New Roman"/>
                <w:sz w:val="18"/>
                <w:szCs w:val="18"/>
                <w:lang w:eastAsia="ja-JP"/>
              </w:rPr>
            </w:pPr>
          </w:p>
        </w:tc>
        <w:tc>
          <w:tcPr>
            <w:tcW w:w="1259" w:type="dxa"/>
            <w:vAlign w:val="center"/>
          </w:tcPr>
          <w:p w14:paraId="4197B82F"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200</w:t>
            </w:r>
          </w:p>
        </w:tc>
        <w:tc>
          <w:tcPr>
            <w:tcW w:w="938" w:type="dxa"/>
            <w:vAlign w:val="center"/>
          </w:tcPr>
          <w:p w14:paraId="7481CC6C"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598</w:t>
            </w:r>
          </w:p>
        </w:tc>
        <w:tc>
          <w:tcPr>
            <w:tcW w:w="945" w:type="dxa"/>
            <w:vMerge/>
            <w:vAlign w:val="center"/>
          </w:tcPr>
          <w:p w14:paraId="328C33E9" w14:textId="77777777" w:rsidR="00254DF6" w:rsidRPr="00465A26" w:rsidRDefault="00254DF6" w:rsidP="00E21C70">
            <w:pPr>
              <w:spacing w:after="0" w:line="240" w:lineRule="auto"/>
              <w:rPr>
                <w:rFonts w:ascii="Times New Roman" w:hAnsi="Times New Roman"/>
                <w:sz w:val="18"/>
                <w:szCs w:val="18"/>
                <w:lang w:eastAsia="ja-JP"/>
              </w:rPr>
            </w:pPr>
          </w:p>
        </w:tc>
        <w:tc>
          <w:tcPr>
            <w:tcW w:w="939" w:type="dxa"/>
            <w:vMerge/>
            <w:vAlign w:val="center"/>
          </w:tcPr>
          <w:p w14:paraId="47B0420B" w14:textId="77777777" w:rsidR="00254DF6" w:rsidRPr="00465A26" w:rsidRDefault="00254DF6" w:rsidP="00E21C70">
            <w:pPr>
              <w:spacing w:after="0" w:line="240" w:lineRule="auto"/>
              <w:rPr>
                <w:rFonts w:ascii="Times New Roman" w:hAnsi="Times New Roman"/>
                <w:sz w:val="18"/>
                <w:szCs w:val="18"/>
                <w:lang w:eastAsia="ja-JP"/>
              </w:rPr>
            </w:pPr>
          </w:p>
        </w:tc>
      </w:tr>
      <w:tr w:rsidR="00254DF6" w:rsidRPr="00465A26" w14:paraId="07FDC2E3" w14:textId="77777777" w:rsidTr="00E21C70">
        <w:trPr>
          <w:trHeight w:val="157"/>
          <w:jc w:val="center"/>
        </w:trPr>
        <w:tc>
          <w:tcPr>
            <w:tcW w:w="1374" w:type="dxa"/>
            <w:vAlign w:val="center"/>
          </w:tcPr>
          <w:p w14:paraId="3DD63F03"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August 2024</w:t>
            </w:r>
          </w:p>
        </w:tc>
        <w:tc>
          <w:tcPr>
            <w:tcW w:w="1506" w:type="dxa"/>
            <w:vMerge/>
            <w:vAlign w:val="center"/>
          </w:tcPr>
          <w:p w14:paraId="5F3C1B79" w14:textId="77777777" w:rsidR="00254DF6" w:rsidRPr="00465A26" w:rsidRDefault="00254DF6" w:rsidP="00E21C70">
            <w:pPr>
              <w:spacing w:after="0" w:line="240" w:lineRule="auto"/>
              <w:rPr>
                <w:rFonts w:ascii="Times New Roman" w:hAnsi="Times New Roman"/>
                <w:sz w:val="18"/>
                <w:szCs w:val="18"/>
                <w:lang w:eastAsia="ja-JP"/>
              </w:rPr>
            </w:pPr>
          </w:p>
        </w:tc>
        <w:tc>
          <w:tcPr>
            <w:tcW w:w="1259" w:type="dxa"/>
            <w:vAlign w:val="center"/>
          </w:tcPr>
          <w:p w14:paraId="1FF6D271"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230</w:t>
            </w:r>
          </w:p>
        </w:tc>
        <w:tc>
          <w:tcPr>
            <w:tcW w:w="938" w:type="dxa"/>
            <w:vAlign w:val="center"/>
          </w:tcPr>
          <w:p w14:paraId="5AF3F897"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363</w:t>
            </w:r>
          </w:p>
        </w:tc>
        <w:tc>
          <w:tcPr>
            <w:tcW w:w="945" w:type="dxa"/>
            <w:vMerge/>
            <w:vAlign w:val="center"/>
          </w:tcPr>
          <w:p w14:paraId="5C9493E4" w14:textId="77777777" w:rsidR="00254DF6" w:rsidRPr="00465A26" w:rsidRDefault="00254DF6" w:rsidP="00E21C70">
            <w:pPr>
              <w:spacing w:after="0" w:line="240" w:lineRule="auto"/>
              <w:rPr>
                <w:rFonts w:ascii="Times New Roman" w:hAnsi="Times New Roman"/>
                <w:sz w:val="18"/>
                <w:szCs w:val="18"/>
                <w:lang w:eastAsia="ja-JP"/>
              </w:rPr>
            </w:pPr>
          </w:p>
        </w:tc>
        <w:tc>
          <w:tcPr>
            <w:tcW w:w="939" w:type="dxa"/>
            <w:vMerge/>
            <w:vAlign w:val="center"/>
          </w:tcPr>
          <w:p w14:paraId="4AFA8644" w14:textId="77777777" w:rsidR="00254DF6" w:rsidRPr="00465A26" w:rsidRDefault="00254DF6" w:rsidP="00E21C70">
            <w:pPr>
              <w:spacing w:after="0" w:line="240" w:lineRule="auto"/>
              <w:rPr>
                <w:rFonts w:ascii="Times New Roman" w:hAnsi="Times New Roman"/>
                <w:sz w:val="18"/>
                <w:szCs w:val="18"/>
                <w:lang w:eastAsia="ja-JP"/>
              </w:rPr>
            </w:pPr>
          </w:p>
        </w:tc>
      </w:tr>
      <w:tr w:rsidR="00254DF6" w:rsidRPr="00465A26" w14:paraId="4CA66D32" w14:textId="77777777" w:rsidTr="00E21C70">
        <w:trPr>
          <w:trHeight w:val="262"/>
          <w:jc w:val="center"/>
        </w:trPr>
        <w:tc>
          <w:tcPr>
            <w:tcW w:w="1374" w:type="dxa"/>
            <w:vAlign w:val="center"/>
          </w:tcPr>
          <w:p w14:paraId="2D2A2C53"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September 2024</w:t>
            </w:r>
          </w:p>
        </w:tc>
        <w:tc>
          <w:tcPr>
            <w:tcW w:w="1506" w:type="dxa"/>
            <w:vMerge/>
            <w:vAlign w:val="center"/>
          </w:tcPr>
          <w:p w14:paraId="45F325EC" w14:textId="77777777" w:rsidR="00254DF6" w:rsidRPr="00465A26" w:rsidRDefault="00254DF6" w:rsidP="00E21C70">
            <w:pPr>
              <w:spacing w:after="0" w:line="240" w:lineRule="auto"/>
              <w:rPr>
                <w:rFonts w:ascii="Times New Roman" w:hAnsi="Times New Roman"/>
                <w:sz w:val="18"/>
                <w:szCs w:val="18"/>
                <w:lang w:eastAsia="ja-JP"/>
              </w:rPr>
            </w:pPr>
          </w:p>
        </w:tc>
        <w:tc>
          <w:tcPr>
            <w:tcW w:w="1259" w:type="dxa"/>
            <w:vAlign w:val="center"/>
          </w:tcPr>
          <w:p w14:paraId="1C02AA4D"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195</w:t>
            </w:r>
          </w:p>
        </w:tc>
        <w:tc>
          <w:tcPr>
            <w:tcW w:w="938" w:type="dxa"/>
            <w:vAlign w:val="center"/>
          </w:tcPr>
          <w:p w14:paraId="2D4BFE1A"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163</w:t>
            </w:r>
          </w:p>
        </w:tc>
        <w:tc>
          <w:tcPr>
            <w:tcW w:w="945" w:type="dxa"/>
            <w:vMerge/>
            <w:vAlign w:val="center"/>
          </w:tcPr>
          <w:p w14:paraId="575FF2C7" w14:textId="77777777" w:rsidR="00254DF6" w:rsidRPr="00465A26" w:rsidRDefault="00254DF6" w:rsidP="00E21C70">
            <w:pPr>
              <w:spacing w:after="0" w:line="240" w:lineRule="auto"/>
              <w:rPr>
                <w:rFonts w:ascii="Times New Roman" w:hAnsi="Times New Roman"/>
                <w:sz w:val="18"/>
                <w:szCs w:val="18"/>
                <w:lang w:eastAsia="ja-JP"/>
              </w:rPr>
            </w:pPr>
          </w:p>
        </w:tc>
        <w:tc>
          <w:tcPr>
            <w:tcW w:w="939" w:type="dxa"/>
            <w:vMerge/>
            <w:vAlign w:val="center"/>
          </w:tcPr>
          <w:p w14:paraId="16F19323" w14:textId="77777777" w:rsidR="00254DF6" w:rsidRPr="00465A26" w:rsidRDefault="00254DF6" w:rsidP="00E21C70">
            <w:pPr>
              <w:spacing w:after="0" w:line="240" w:lineRule="auto"/>
              <w:rPr>
                <w:rFonts w:ascii="Times New Roman" w:hAnsi="Times New Roman"/>
                <w:sz w:val="18"/>
                <w:szCs w:val="18"/>
                <w:lang w:eastAsia="ja-JP"/>
              </w:rPr>
            </w:pPr>
          </w:p>
        </w:tc>
      </w:tr>
      <w:tr w:rsidR="00254DF6" w:rsidRPr="00465A26" w14:paraId="33F4F7E5" w14:textId="77777777" w:rsidTr="00E21C70">
        <w:trPr>
          <w:trHeight w:val="157"/>
          <w:jc w:val="center"/>
        </w:trPr>
        <w:tc>
          <w:tcPr>
            <w:tcW w:w="1374" w:type="dxa"/>
            <w:vAlign w:val="center"/>
          </w:tcPr>
          <w:p w14:paraId="27B7FBF2"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October 2024</w:t>
            </w:r>
          </w:p>
        </w:tc>
        <w:tc>
          <w:tcPr>
            <w:tcW w:w="1506" w:type="dxa"/>
            <w:vMerge/>
            <w:vAlign w:val="center"/>
          </w:tcPr>
          <w:p w14:paraId="58493227" w14:textId="77777777" w:rsidR="00254DF6" w:rsidRPr="00465A26" w:rsidRDefault="00254DF6" w:rsidP="00E21C70">
            <w:pPr>
              <w:spacing w:after="0" w:line="240" w:lineRule="auto"/>
              <w:rPr>
                <w:rFonts w:ascii="Times New Roman" w:hAnsi="Times New Roman"/>
                <w:sz w:val="18"/>
                <w:szCs w:val="18"/>
                <w:lang w:eastAsia="ja-JP"/>
              </w:rPr>
            </w:pPr>
          </w:p>
        </w:tc>
        <w:tc>
          <w:tcPr>
            <w:tcW w:w="1259" w:type="dxa"/>
            <w:vAlign w:val="center"/>
          </w:tcPr>
          <w:p w14:paraId="0B15E7B3"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153</w:t>
            </w:r>
          </w:p>
        </w:tc>
        <w:tc>
          <w:tcPr>
            <w:tcW w:w="938" w:type="dxa"/>
            <w:vAlign w:val="center"/>
          </w:tcPr>
          <w:p w14:paraId="62667639"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c>
          <w:tcPr>
            <w:tcW w:w="945" w:type="dxa"/>
            <w:vMerge/>
            <w:vAlign w:val="center"/>
          </w:tcPr>
          <w:p w14:paraId="0FD24B64" w14:textId="77777777" w:rsidR="00254DF6" w:rsidRPr="00465A26" w:rsidRDefault="00254DF6" w:rsidP="00E21C70">
            <w:pPr>
              <w:spacing w:after="0" w:line="240" w:lineRule="auto"/>
              <w:rPr>
                <w:rFonts w:ascii="Times New Roman" w:hAnsi="Times New Roman"/>
                <w:sz w:val="18"/>
                <w:szCs w:val="18"/>
                <w:lang w:eastAsia="ja-JP"/>
              </w:rPr>
            </w:pPr>
          </w:p>
        </w:tc>
        <w:tc>
          <w:tcPr>
            <w:tcW w:w="939" w:type="dxa"/>
            <w:vMerge/>
            <w:vAlign w:val="center"/>
          </w:tcPr>
          <w:p w14:paraId="11A2F746" w14:textId="77777777" w:rsidR="00254DF6" w:rsidRPr="00465A26" w:rsidRDefault="00254DF6" w:rsidP="00E21C70">
            <w:pPr>
              <w:spacing w:after="0" w:line="240" w:lineRule="auto"/>
              <w:rPr>
                <w:rFonts w:ascii="Times New Roman" w:hAnsi="Times New Roman"/>
                <w:sz w:val="18"/>
                <w:szCs w:val="18"/>
                <w:lang w:eastAsia="ja-JP"/>
              </w:rPr>
            </w:pPr>
          </w:p>
        </w:tc>
      </w:tr>
      <w:tr w:rsidR="00254DF6" w:rsidRPr="00465A26" w14:paraId="37A5F2E0" w14:textId="77777777" w:rsidTr="00E21C70">
        <w:trPr>
          <w:trHeight w:val="157"/>
          <w:jc w:val="center"/>
        </w:trPr>
        <w:tc>
          <w:tcPr>
            <w:tcW w:w="1374" w:type="dxa"/>
            <w:vAlign w:val="center"/>
          </w:tcPr>
          <w:p w14:paraId="57D6E043"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November 2024</w:t>
            </w:r>
          </w:p>
        </w:tc>
        <w:tc>
          <w:tcPr>
            <w:tcW w:w="1506" w:type="dxa"/>
            <w:vAlign w:val="center"/>
          </w:tcPr>
          <w:p w14:paraId="69663C89"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150</w:t>
            </w:r>
          </w:p>
        </w:tc>
        <w:tc>
          <w:tcPr>
            <w:tcW w:w="1259" w:type="dxa"/>
            <w:vAlign w:val="center"/>
          </w:tcPr>
          <w:p w14:paraId="122D3794"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150</w:t>
            </w:r>
          </w:p>
        </w:tc>
        <w:tc>
          <w:tcPr>
            <w:tcW w:w="938" w:type="dxa"/>
            <w:vAlign w:val="center"/>
          </w:tcPr>
          <w:p w14:paraId="6BB9DA24"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c>
          <w:tcPr>
            <w:tcW w:w="945" w:type="dxa"/>
            <w:vAlign w:val="center"/>
          </w:tcPr>
          <w:p w14:paraId="53F28BD1"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10</w:t>
            </w:r>
          </w:p>
        </w:tc>
        <w:tc>
          <w:tcPr>
            <w:tcW w:w="939" w:type="dxa"/>
            <w:vAlign w:val="center"/>
          </w:tcPr>
          <w:p w14:paraId="1AEAAAC4"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r>
      <w:tr w:rsidR="00254DF6" w:rsidRPr="00465A26" w14:paraId="75DC698F" w14:textId="77777777" w:rsidTr="00E21C70">
        <w:trPr>
          <w:trHeight w:val="157"/>
          <w:jc w:val="center"/>
        </w:trPr>
        <w:tc>
          <w:tcPr>
            <w:tcW w:w="1374" w:type="dxa"/>
            <w:vAlign w:val="center"/>
          </w:tcPr>
          <w:p w14:paraId="746354C3"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December 2024</w:t>
            </w:r>
          </w:p>
        </w:tc>
        <w:tc>
          <w:tcPr>
            <w:tcW w:w="1506" w:type="dxa"/>
            <w:vAlign w:val="center"/>
          </w:tcPr>
          <w:p w14:paraId="21B7B16E"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150</w:t>
            </w:r>
          </w:p>
        </w:tc>
        <w:tc>
          <w:tcPr>
            <w:tcW w:w="1259" w:type="dxa"/>
            <w:vAlign w:val="center"/>
          </w:tcPr>
          <w:p w14:paraId="1F1E94B7"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150</w:t>
            </w:r>
          </w:p>
        </w:tc>
        <w:tc>
          <w:tcPr>
            <w:tcW w:w="938" w:type="dxa"/>
            <w:vAlign w:val="center"/>
          </w:tcPr>
          <w:p w14:paraId="733BFC74"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c>
          <w:tcPr>
            <w:tcW w:w="945" w:type="dxa"/>
            <w:vAlign w:val="center"/>
          </w:tcPr>
          <w:p w14:paraId="5F50F562"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10</w:t>
            </w:r>
          </w:p>
        </w:tc>
        <w:tc>
          <w:tcPr>
            <w:tcW w:w="939" w:type="dxa"/>
            <w:vAlign w:val="center"/>
          </w:tcPr>
          <w:p w14:paraId="3FE2AB8F"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r>
      <w:tr w:rsidR="00254DF6" w:rsidRPr="00465A26" w14:paraId="57AD9CED" w14:textId="77777777" w:rsidTr="00E21C70">
        <w:trPr>
          <w:trHeight w:val="157"/>
          <w:jc w:val="center"/>
        </w:trPr>
        <w:tc>
          <w:tcPr>
            <w:tcW w:w="1374" w:type="dxa"/>
            <w:vAlign w:val="center"/>
          </w:tcPr>
          <w:p w14:paraId="23CA8046"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January 2025</w:t>
            </w:r>
          </w:p>
        </w:tc>
        <w:tc>
          <w:tcPr>
            <w:tcW w:w="1506" w:type="dxa"/>
            <w:vAlign w:val="center"/>
          </w:tcPr>
          <w:p w14:paraId="2AA7B182"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900</w:t>
            </w:r>
          </w:p>
        </w:tc>
        <w:tc>
          <w:tcPr>
            <w:tcW w:w="1259" w:type="dxa"/>
            <w:vAlign w:val="center"/>
          </w:tcPr>
          <w:p w14:paraId="7E5184EA"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900</w:t>
            </w:r>
          </w:p>
        </w:tc>
        <w:tc>
          <w:tcPr>
            <w:tcW w:w="938" w:type="dxa"/>
            <w:vAlign w:val="center"/>
          </w:tcPr>
          <w:p w14:paraId="18650A28"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c>
          <w:tcPr>
            <w:tcW w:w="945" w:type="dxa"/>
            <w:vAlign w:val="center"/>
          </w:tcPr>
          <w:p w14:paraId="774371D3"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30</w:t>
            </w:r>
          </w:p>
        </w:tc>
        <w:tc>
          <w:tcPr>
            <w:tcW w:w="939" w:type="dxa"/>
            <w:vAlign w:val="center"/>
          </w:tcPr>
          <w:p w14:paraId="7172AEED"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r>
      <w:tr w:rsidR="00254DF6" w:rsidRPr="00465A26" w14:paraId="2E422F2C" w14:textId="77777777" w:rsidTr="00E21C70">
        <w:trPr>
          <w:trHeight w:val="157"/>
          <w:jc w:val="center"/>
        </w:trPr>
        <w:tc>
          <w:tcPr>
            <w:tcW w:w="1374" w:type="dxa"/>
            <w:vAlign w:val="center"/>
          </w:tcPr>
          <w:p w14:paraId="3A6A206A"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February 2025</w:t>
            </w:r>
          </w:p>
        </w:tc>
        <w:tc>
          <w:tcPr>
            <w:tcW w:w="1506" w:type="dxa"/>
            <w:vAlign w:val="center"/>
          </w:tcPr>
          <w:p w14:paraId="146A6711"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1.050</w:t>
            </w:r>
          </w:p>
        </w:tc>
        <w:tc>
          <w:tcPr>
            <w:tcW w:w="1259" w:type="dxa"/>
            <w:vAlign w:val="center"/>
          </w:tcPr>
          <w:p w14:paraId="5100A182"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1.050</w:t>
            </w:r>
          </w:p>
        </w:tc>
        <w:tc>
          <w:tcPr>
            <w:tcW w:w="938" w:type="dxa"/>
            <w:vAlign w:val="center"/>
          </w:tcPr>
          <w:p w14:paraId="2040EA1F"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c>
          <w:tcPr>
            <w:tcW w:w="945" w:type="dxa"/>
            <w:vAlign w:val="center"/>
          </w:tcPr>
          <w:p w14:paraId="75625E55"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30</w:t>
            </w:r>
          </w:p>
        </w:tc>
        <w:tc>
          <w:tcPr>
            <w:tcW w:w="939" w:type="dxa"/>
            <w:vAlign w:val="center"/>
          </w:tcPr>
          <w:p w14:paraId="59C9D020"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r>
      <w:tr w:rsidR="00254DF6" w:rsidRPr="00465A26" w14:paraId="3D3F4B5E" w14:textId="77777777" w:rsidTr="00E21C70">
        <w:trPr>
          <w:trHeight w:val="157"/>
          <w:jc w:val="center"/>
        </w:trPr>
        <w:tc>
          <w:tcPr>
            <w:tcW w:w="1374" w:type="dxa"/>
            <w:vAlign w:val="center"/>
          </w:tcPr>
          <w:p w14:paraId="3C1872C4"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March 2025</w:t>
            </w:r>
          </w:p>
        </w:tc>
        <w:tc>
          <w:tcPr>
            <w:tcW w:w="1506" w:type="dxa"/>
            <w:vAlign w:val="center"/>
          </w:tcPr>
          <w:p w14:paraId="10F7A37F"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1.350</w:t>
            </w:r>
          </w:p>
        </w:tc>
        <w:tc>
          <w:tcPr>
            <w:tcW w:w="1259" w:type="dxa"/>
            <w:vAlign w:val="center"/>
          </w:tcPr>
          <w:p w14:paraId="0747EDE5"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1.350</w:t>
            </w:r>
          </w:p>
        </w:tc>
        <w:tc>
          <w:tcPr>
            <w:tcW w:w="938" w:type="dxa"/>
            <w:vAlign w:val="center"/>
          </w:tcPr>
          <w:p w14:paraId="6D7E2ADA"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c>
          <w:tcPr>
            <w:tcW w:w="945" w:type="dxa"/>
            <w:vAlign w:val="center"/>
          </w:tcPr>
          <w:p w14:paraId="1C3EE409"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30</w:t>
            </w:r>
          </w:p>
        </w:tc>
        <w:tc>
          <w:tcPr>
            <w:tcW w:w="939" w:type="dxa"/>
            <w:vAlign w:val="center"/>
          </w:tcPr>
          <w:p w14:paraId="33BEE40B"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r>
      <w:tr w:rsidR="00254DF6" w:rsidRPr="00465A26" w14:paraId="7A15C3A6" w14:textId="77777777" w:rsidTr="00E21C70">
        <w:trPr>
          <w:trHeight w:val="157"/>
          <w:jc w:val="center"/>
        </w:trPr>
        <w:tc>
          <w:tcPr>
            <w:tcW w:w="1374" w:type="dxa"/>
            <w:vAlign w:val="center"/>
          </w:tcPr>
          <w:p w14:paraId="403B3907"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April 2025</w:t>
            </w:r>
          </w:p>
        </w:tc>
        <w:tc>
          <w:tcPr>
            <w:tcW w:w="1506" w:type="dxa"/>
            <w:vAlign w:val="center"/>
          </w:tcPr>
          <w:p w14:paraId="3B07A041"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900</w:t>
            </w:r>
          </w:p>
        </w:tc>
        <w:tc>
          <w:tcPr>
            <w:tcW w:w="1259" w:type="dxa"/>
            <w:vAlign w:val="center"/>
          </w:tcPr>
          <w:p w14:paraId="2E9BA7DE"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900</w:t>
            </w:r>
          </w:p>
        </w:tc>
        <w:tc>
          <w:tcPr>
            <w:tcW w:w="938" w:type="dxa"/>
            <w:vAlign w:val="center"/>
          </w:tcPr>
          <w:p w14:paraId="2483C9B7"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c>
          <w:tcPr>
            <w:tcW w:w="945" w:type="dxa"/>
            <w:vAlign w:val="center"/>
          </w:tcPr>
          <w:p w14:paraId="6EDE31B1"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30</w:t>
            </w:r>
          </w:p>
        </w:tc>
        <w:tc>
          <w:tcPr>
            <w:tcW w:w="939" w:type="dxa"/>
            <w:vAlign w:val="center"/>
          </w:tcPr>
          <w:p w14:paraId="5D2546B0"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0</w:t>
            </w:r>
          </w:p>
        </w:tc>
      </w:tr>
      <w:tr w:rsidR="00254DF6" w:rsidRPr="00465A26" w14:paraId="329AD6A8" w14:textId="77777777" w:rsidTr="00E21C70">
        <w:trPr>
          <w:trHeight w:val="157"/>
          <w:jc w:val="center"/>
        </w:trPr>
        <w:tc>
          <w:tcPr>
            <w:tcW w:w="2880" w:type="dxa"/>
            <w:gridSpan w:val="2"/>
            <w:vAlign w:val="center"/>
          </w:tcPr>
          <w:p w14:paraId="2FFF9EDB"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Total</w:t>
            </w:r>
          </w:p>
        </w:tc>
        <w:tc>
          <w:tcPr>
            <w:tcW w:w="1259" w:type="dxa"/>
            <w:vAlign w:val="center"/>
          </w:tcPr>
          <w:p w14:paraId="7C7E1298"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5.478</w:t>
            </w:r>
          </w:p>
        </w:tc>
        <w:tc>
          <w:tcPr>
            <w:tcW w:w="938" w:type="dxa"/>
            <w:vAlign w:val="center"/>
          </w:tcPr>
          <w:p w14:paraId="0B9C45A9" w14:textId="77777777" w:rsidR="00254DF6" w:rsidRPr="00465A26" w:rsidRDefault="00254DF6" w:rsidP="00E21C70">
            <w:pPr>
              <w:spacing w:after="0" w:line="240" w:lineRule="auto"/>
              <w:rPr>
                <w:rFonts w:ascii="Times New Roman" w:hAnsi="Times New Roman"/>
                <w:sz w:val="18"/>
                <w:szCs w:val="18"/>
                <w:lang w:eastAsia="ja-JP"/>
              </w:rPr>
            </w:pPr>
          </w:p>
        </w:tc>
        <w:tc>
          <w:tcPr>
            <w:tcW w:w="945" w:type="dxa"/>
            <w:vAlign w:val="center"/>
          </w:tcPr>
          <w:p w14:paraId="0529225D"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141</w:t>
            </w:r>
          </w:p>
        </w:tc>
        <w:tc>
          <w:tcPr>
            <w:tcW w:w="939" w:type="dxa"/>
            <w:vAlign w:val="center"/>
          </w:tcPr>
          <w:p w14:paraId="16180595" w14:textId="77777777" w:rsidR="00254DF6" w:rsidRPr="00465A26" w:rsidRDefault="00254DF6" w:rsidP="00E21C70">
            <w:pPr>
              <w:spacing w:after="0" w:line="240" w:lineRule="auto"/>
              <w:rPr>
                <w:rFonts w:ascii="Times New Roman" w:hAnsi="Times New Roman"/>
                <w:sz w:val="18"/>
                <w:szCs w:val="18"/>
                <w:lang w:eastAsia="ja-JP"/>
              </w:rPr>
            </w:pPr>
          </w:p>
        </w:tc>
      </w:tr>
      <w:tr w:rsidR="00254DF6" w:rsidRPr="00465A26" w14:paraId="7CA7EBA4" w14:textId="77777777" w:rsidTr="00E21C70">
        <w:trPr>
          <w:trHeight w:val="157"/>
          <w:jc w:val="center"/>
        </w:trPr>
        <w:tc>
          <w:tcPr>
            <w:tcW w:w="2880" w:type="dxa"/>
            <w:gridSpan w:val="2"/>
            <w:vAlign w:val="center"/>
          </w:tcPr>
          <w:p w14:paraId="7929C757"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Average</w:t>
            </w:r>
          </w:p>
        </w:tc>
        <w:tc>
          <w:tcPr>
            <w:tcW w:w="1259" w:type="dxa"/>
            <w:vAlign w:val="center"/>
          </w:tcPr>
          <w:p w14:paraId="52D14C6A" w14:textId="77777777" w:rsidR="00254DF6" w:rsidRPr="00465A26" w:rsidRDefault="00254DF6" w:rsidP="00E21C70">
            <w:pPr>
              <w:spacing w:after="0" w:line="240" w:lineRule="auto"/>
              <w:rPr>
                <w:rFonts w:ascii="Times New Roman" w:hAnsi="Times New Roman"/>
                <w:sz w:val="18"/>
                <w:szCs w:val="18"/>
                <w:lang w:eastAsia="ja-JP"/>
              </w:rPr>
            </w:pPr>
            <w:r w:rsidRPr="00465A26">
              <w:rPr>
                <w:rFonts w:ascii="Times New Roman" w:hAnsi="Times New Roman"/>
                <w:sz w:val="18"/>
                <w:szCs w:val="18"/>
                <w:lang w:eastAsia="ja-JP"/>
              </w:rPr>
              <w:t>498</w:t>
            </w:r>
          </w:p>
        </w:tc>
        <w:tc>
          <w:tcPr>
            <w:tcW w:w="938" w:type="dxa"/>
            <w:vAlign w:val="center"/>
          </w:tcPr>
          <w:p w14:paraId="426D696E" w14:textId="77777777" w:rsidR="00254DF6" w:rsidRPr="00465A26" w:rsidRDefault="00254DF6" w:rsidP="00E21C70">
            <w:pPr>
              <w:spacing w:after="0" w:line="240" w:lineRule="auto"/>
              <w:rPr>
                <w:rFonts w:ascii="Times New Roman" w:hAnsi="Times New Roman"/>
                <w:sz w:val="18"/>
                <w:szCs w:val="18"/>
                <w:lang w:eastAsia="ja-JP"/>
              </w:rPr>
            </w:pPr>
          </w:p>
        </w:tc>
        <w:tc>
          <w:tcPr>
            <w:tcW w:w="945" w:type="dxa"/>
            <w:vAlign w:val="center"/>
          </w:tcPr>
          <w:p w14:paraId="7A728284" w14:textId="77777777" w:rsidR="00254DF6" w:rsidRPr="00465A26" w:rsidRDefault="00254DF6" w:rsidP="00E21C70">
            <w:pPr>
              <w:spacing w:after="0" w:line="240" w:lineRule="auto"/>
              <w:rPr>
                <w:rFonts w:ascii="Times New Roman" w:hAnsi="Times New Roman"/>
                <w:sz w:val="18"/>
                <w:szCs w:val="18"/>
                <w:lang w:eastAsia="ja-JP"/>
              </w:rPr>
            </w:pPr>
          </w:p>
        </w:tc>
        <w:tc>
          <w:tcPr>
            <w:tcW w:w="939" w:type="dxa"/>
            <w:vAlign w:val="center"/>
          </w:tcPr>
          <w:p w14:paraId="1605EED4" w14:textId="77777777" w:rsidR="00254DF6" w:rsidRPr="00465A26" w:rsidRDefault="00254DF6" w:rsidP="00E21C70">
            <w:pPr>
              <w:spacing w:after="0" w:line="240" w:lineRule="auto"/>
              <w:rPr>
                <w:rFonts w:ascii="Times New Roman" w:hAnsi="Times New Roman"/>
                <w:sz w:val="18"/>
                <w:szCs w:val="18"/>
                <w:lang w:eastAsia="ja-JP"/>
              </w:rPr>
            </w:pPr>
          </w:p>
        </w:tc>
      </w:tr>
    </w:tbl>
    <w:p w14:paraId="521742F7" w14:textId="77777777" w:rsidR="00465A26" w:rsidRDefault="00465A26" w:rsidP="0003786E">
      <w:pPr>
        <w:pStyle w:val="BodyText"/>
        <w:ind w:firstLine="0"/>
        <w:rPr>
          <w:b/>
          <w:bCs/>
          <w:sz w:val="20"/>
        </w:rPr>
      </w:pPr>
    </w:p>
    <w:p w14:paraId="38501BF6" w14:textId="7471F029" w:rsidR="00254DF6" w:rsidRPr="003D7A01" w:rsidRDefault="00254DF6" w:rsidP="0003786E">
      <w:pPr>
        <w:pStyle w:val="BodyText"/>
        <w:ind w:firstLine="0"/>
        <w:rPr>
          <w:b/>
          <w:bCs/>
          <w:sz w:val="20"/>
        </w:rPr>
      </w:pPr>
      <w:r w:rsidRPr="003D7A01">
        <w:rPr>
          <w:b/>
          <w:bCs/>
          <w:sz w:val="20"/>
        </w:rPr>
        <w:t>3.3 Ordering Cost</w:t>
      </w:r>
    </w:p>
    <w:p w14:paraId="744D6C5A" w14:textId="6FCA0AE9" w:rsidR="00254DF6" w:rsidRPr="003D7A01" w:rsidRDefault="00254DF6" w:rsidP="00465A26">
      <w:pPr>
        <w:pStyle w:val="BodyText"/>
        <w:spacing w:after="0" w:line="276" w:lineRule="auto"/>
        <w:ind w:firstLine="567"/>
        <w:rPr>
          <w:sz w:val="20"/>
        </w:rPr>
      </w:pPr>
      <w:r w:rsidRPr="003D7A01">
        <w:rPr>
          <w:sz w:val="20"/>
        </w:rPr>
        <w:t xml:space="preserve">Ordering cost refers to the total expenses incurred in the process of procuring raw materials, including telephone costs, handling </w:t>
      </w:r>
      <w:r w:rsidRPr="00465A26">
        <w:rPr>
          <w:color w:val="000000"/>
          <w:sz w:val="20"/>
          <w:szCs w:val="18"/>
        </w:rPr>
        <w:t>costs</w:t>
      </w:r>
      <w:r w:rsidRPr="003D7A01">
        <w:rPr>
          <w:sz w:val="20"/>
        </w:rPr>
        <w:t xml:space="preserve">, and transportation costs </w:t>
      </w:r>
      <w:sdt>
        <w:sdtPr>
          <w:rPr>
            <w:sz w:val="20"/>
          </w:rPr>
          <w:tag w:val="MENDELEY_CITATION_v3_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"/>
          <w:id w:val="304898633"/>
          <w:placeholder>
            <w:docPart w:val="DefaultPlaceholder_-1854013440"/>
          </w:placeholder>
        </w:sdtPr>
        <w:sdtContent>
          <w:r w:rsidR="00CC1D18" w:rsidRPr="003D7A01">
            <w:rPr>
              <w:color w:val="000000"/>
              <w:sz w:val="20"/>
            </w:rPr>
            <w:t>[22]</w:t>
          </w:r>
        </w:sdtContent>
      </w:sdt>
      <w:r w:rsidRPr="003D7A01">
        <w:rPr>
          <w:sz w:val="20"/>
        </w:rPr>
        <w:t>. Based on data from the past 11 months, this SME has made 141 procurement transactions, so the high ordering frequency contributes significantly to the total ordering cost.</w:t>
      </w:r>
    </w:p>
    <w:p w14:paraId="5942BD8B" w14:textId="77777777" w:rsidR="00254DF6" w:rsidRPr="00465A26" w:rsidRDefault="00254DF6" w:rsidP="0003786E">
      <w:pPr>
        <w:pStyle w:val="tablehead"/>
        <w:numPr>
          <w:ilvl w:val="0"/>
          <w:numId w:val="0"/>
        </w:numPr>
        <w:spacing w:before="120"/>
        <w:ind w:left="357"/>
        <w:rPr>
          <w:rFonts w:ascii="Times New Roman" w:eastAsia="MS Mincho" w:hAnsi="Times New Roman"/>
          <w:spacing w:val="-1"/>
        </w:rPr>
      </w:pPr>
      <w:r w:rsidRPr="00465A26">
        <w:rPr>
          <w:rFonts w:ascii="Times New Roman" w:hAnsi="Times New Roman"/>
          <w:b/>
          <w:bCs/>
        </w:rPr>
        <w:t xml:space="preserve">Table 2. </w:t>
      </w:r>
      <w:r w:rsidRPr="00465A26">
        <w:rPr>
          <w:rFonts w:ascii="Times New Roman" w:hAnsi="Times New Roman"/>
        </w:rPr>
        <w:t>Ordering Cost for One Period</w:t>
      </w:r>
    </w:p>
    <w:tbl>
      <w:tblPr>
        <w:tblW w:w="63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5"/>
        <w:gridCol w:w="1154"/>
        <w:gridCol w:w="1838"/>
        <w:gridCol w:w="927"/>
        <w:gridCol w:w="854"/>
      </w:tblGrid>
      <w:tr w:rsidR="00254DF6" w:rsidRPr="00465A26" w14:paraId="3558F3A9" w14:textId="77777777" w:rsidTr="00465A26">
        <w:trPr>
          <w:trHeight w:val="693"/>
          <w:tblHeader/>
          <w:jc w:val="center"/>
        </w:trPr>
        <w:tc>
          <w:tcPr>
            <w:tcW w:w="1605" w:type="dxa"/>
            <w:vAlign w:val="center"/>
          </w:tcPr>
          <w:p w14:paraId="706E5948" w14:textId="77777777" w:rsidR="00254DF6" w:rsidRPr="00465A26" w:rsidRDefault="00254DF6" w:rsidP="00465A26">
            <w:pPr>
              <w:pStyle w:val="Body"/>
              <w:ind w:firstLine="0"/>
              <w:jc w:val="center"/>
              <w:rPr>
                <w:rFonts w:cs="Calibri"/>
                <w:b/>
                <w:bCs/>
                <w:sz w:val="18"/>
                <w:szCs w:val="18"/>
              </w:rPr>
            </w:pPr>
            <w:r w:rsidRPr="00465A26">
              <w:rPr>
                <w:rFonts w:cs="Calibri"/>
                <w:b/>
                <w:bCs/>
                <w:sz w:val="18"/>
                <w:szCs w:val="18"/>
              </w:rPr>
              <w:t>Component</w:t>
            </w:r>
          </w:p>
        </w:tc>
        <w:tc>
          <w:tcPr>
            <w:tcW w:w="1154" w:type="dxa"/>
            <w:vAlign w:val="center"/>
          </w:tcPr>
          <w:p w14:paraId="54640C8D" w14:textId="77777777" w:rsidR="00254DF6" w:rsidRPr="00465A26" w:rsidRDefault="00254DF6" w:rsidP="00465A26">
            <w:pPr>
              <w:pStyle w:val="Body"/>
              <w:ind w:firstLine="0"/>
              <w:jc w:val="center"/>
              <w:rPr>
                <w:rFonts w:cs="Calibri"/>
                <w:b/>
                <w:bCs/>
                <w:sz w:val="18"/>
                <w:szCs w:val="18"/>
              </w:rPr>
            </w:pPr>
            <w:r w:rsidRPr="00465A26">
              <w:rPr>
                <w:rFonts w:cs="Calibri"/>
                <w:b/>
                <w:bCs/>
                <w:sz w:val="18"/>
                <w:szCs w:val="18"/>
              </w:rPr>
              <w:t>Total Cost/</w:t>
            </w:r>
          </w:p>
          <w:p w14:paraId="1D425E8F" w14:textId="77777777" w:rsidR="00254DF6" w:rsidRPr="00465A26" w:rsidRDefault="00254DF6" w:rsidP="00465A26">
            <w:pPr>
              <w:pStyle w:val="Body"/>
              <w:ind w:firstLine="0"/>
              <w:jc w:val="center"/>
              <w:rPr>
                <w:rFonts w:cs="Calibri"/>
                <w:b/>
                <w:bCs/>
                <w:sz w:val="18"/>
                <w:szCs w:val="18"/>
              </w:rPr>
            </w:pPr>
            <w:r w:rsidRPr="00465A26">
              <w:rPr>
                <w:rFonts w:cs="Calibri"/>
                <w:b/>
                <w:bCs/>
                <w:sz w:val="18"/>
                <w:szCs w:val="18"/>
              </w:rPr>
              <w:t>Month (IDR)</w:t>
            </w:r>
          </w:p>
        </w:tc>
        <w:tc>
          <w:tcPr>
            <w:tcW w:w="1838" w:type="dxa"/>
            <w:vAlign w:val="center"/>
          </w:tcPr>
          <w:p w14:paraId="1632458E" w14:textId="77777777" w:rsidR="00254DF6" w:rsidRPr="00465A26" w:rsidRDefault="00254DF6" w:rsidP="00465A26">
            <w:pPr>
              <w:pStyle w:val="Body"/>
              <w:ind w:firstLine="0"/>
              <w:jc w:val="center"/>
              <w:rPr>
                <w:rFonts w:cs="Calibri"/>
                <w:b/>
                <w:bCs/>
                <w:sz w:val="18"/>
                <w:szCs w:val="18"/>
              </w:rPr>
            </w:pPr>
            <w:r w:rsidRPr="00465A26">
              <w:rPr>
                <w:rFonts w:cs="Calibri"/>
                <w:b/>
                <w:bCs/>
                <w:sz w:val="18"/>
                <w:szCs w:val="18"/>
              </w:rPr>
              <w:t>Total Ordering Cost/ Period (IDR)</w:t>
            </w:r>
          </w:p>
        </w:tc>
        <w:tc>
          <w:tcPr>
            <w:tcW w:w="927" w:type="dxa"/>
            <w:vAlign w:val="center"/>
          </w:tcPr>
          <w:p w14:paraId="21A31581" w14:textId="77777777" w:rsidR="00254DF6" w:rsidRPr="00465A26" w:rsidRDefault="00254DF6" w:rsidP="00465A26">
            <w:pPr>
              <w:pStyle w:val="Body"/>
              <w:ind w:firstLine="0"/>
              <w:jc w:val="center"/>
              <w:rPr>
                <w:rFonts w:cs="Calibri"/>
                <w:b/>
                <w:bCs/>
                <w:sz w:val="18"/>
                <w:szCs w:val="18"/>
              </w:rPr>
            </w:pPr>
            <w:r w:rsidRPr="00465A26">
              <w:rPr>
                <w:rFonts w:cs="Calibri"/>
                <w:b/>
                <w:bCs/>
                <w:sz w:val="18"/>
                <w:szCs w:val="18"/>
              </w:rPr>
              <w:t>FP (Times)</w:t>
            </w:r>
          </w:p>
        </w:tc>
        <w:tc>
          <w:tcPr>
            <w:tcW w:w="854" w:type="dxa"/>
            <w:vAlign w:val="center"/>
          </w:tcPr>
          <w:p w14:paraId="087CC331" w14:textId="77777777" w:rsidR="00254DF6" w:rsidRPr="00465A26" w:rsidRDefault="00254DF6" w:rsidP="00465A26">
            <w:pPr>
              <w:pStyle w:val="Body"/>
              <w:ind w:firstLine="0"/>
              <w:jc w:val="center"/>
              <w:rPr>
                <w:rFonts w:cs="Calibri"/>
                <w:b/>
                <w:bCs/>
                <w:sz w:val="18"/>
                <w:szCs w:val="18"/>
              </w:rPr>
            </w:pPr>
            <w:r w:rsidRPr="00465A26">
              <w:rPr>
                <w:rFonts w:cs="Calibri"/>
                <w:b/>
                <w:bCs/>
                <w:sz w:val="18"/>
                <w:szCs w:val="18"/>
              </w:rPr>
              <w:t>BP (IDR)</w:t>
            </w:r>
          </w:p>
        </w:tc>
      </w:tr>
      <w:tr w:rsidR="00254DF6" w:rsidRPr="00465A26" w14:paraId="470BF503" w14:textId="77777777" w:rsidTr="00465A26">
        <w:trPr>
          <w:trHeight w:val="158"/>
          <w:jc w:val="center"/>
        </w:trPr>
        <w:tc>
          <w:tcPr>
            <w:tcW w:w="1605" w:type="dxa"/>
            <w:vAlign w:val="center"/>
          </w:tcPr>
          <w:p w14:paraId="30887176" w14:textId="77777777" w:rsidR="00254DF6" w:rsidRPr="00465A26" w:rsidRDefault="00254DF6" w:rsidP="00E21C70">
            <w:pPr>
              <w:pStyle w:val="Body"/>
              <w:ind w:firstLine="0"/>
              <w:jc w:val="left"/>
              <w:rPr>
                <w:rFonts w:cs="Calibri"/>
                <w:sz w:val="18"/>
                <w:szCs w:val="18"/>
              </w:rPr>
            </w:pPr>
            <w:r w:rsidRPr="00465A26">
              <w:rPr>
                <w:rFonts w:cs="Calibri"/>
                <w:sz w:val="18"/>
                <w:szCs w:val="18"/>
              </w:rPr>
              <w:t>Phone Charge</w:t>
            </w:r>
          </w:p>
        </w:tc>
        <w:tc>
          <w:tcPr>
            <w:tcW w:w="1154" w:type="dxa"/>
            <w:vAlign w:val="center"/>
          </w:tcPr>
          <w:p w14:paraId="7D759840" w14:textId="77777777" w:rsidR="00254DF6" w:rsidRPr="00465A26" w:rsidRDefault="00254DF6" w:rsidP="00E21C70">
            <w:pPr>
              <w:pStyle w:val="Body"/>
              <w:ind w:firstLine="0"/>
              <w:jc w:val="left"/>
              <w:rPr>
                <w:rFonts w:cs="Calibri"/>
                <w:sz w:val="18"/>
                <w:szCs w:val="18"/>
              </w:rPr>
            </w:pPr>
            <w:r w:rsidRPr="00465A26">
              <w:rPr>
                <w:rFonts w:cs="Calibri"/>
                <w:sz w:val="18"/>
                <w:szCs w:val="18"/>
              </w:rPr>
              <w:t>50.000</w:t>
            </w:r>
          </w:p>
        </w:tc>
        <w:tc>
          <w:tcPr>
            <w:tcW w:w="1838" w:type="dxa"/>
            <w:vAlign w:val="center"/>
          </w:tcPr>
          <w:p w14:paraId="235ECE08" w14:textId="77777777" w:rsidR="00254DF6" w:rsidRPr="00465A26" w:rsidRDefault="00254DF6" w:rsidP="00E21C70">
            <w:pPr>
              <w:pStyle w:val="Body"/>
              <w:ind w:firstLine="0"/>
              <w:jc w:val="left"/>
              <w:rPr>
                <w:rFonts w:cs="Calibri"/>
                <w:sz w:val="18"/>
                <w:szCs w:val="18"/>
              </w:rPr>
            </w:pPr>
            <w:r w:rsidRPr="00465A26">
              <w:rPr>
                <w:rFonts w:cs="Calibri"/>
                <w:sz w:val="18"/>
                <w:szCs w:val="18"/>
              </w:rPr>
              <w:t>550.000</w:t>
            </w:r>
          </w:p>
        </w:tc>
        <w:tc>
          <w:tcPr>
            <w:tcW w:w="927" w:type="dxa"/>
            <w:vMerge w:val="restart"/>
            <w:vAlign w:val="center"/>
          </w:tcPr>
          <w:p w14:paraId="0712C946" w14:textId="77777777" w:rsidR="00254DF6" w:rsidRPr="00465A26" w:rsidRDefault="00254DF6" w:rsidP="00E21C70">
            <w:pPr>
              <w:pStyle w:val="Body"/>
              <w:ind w:firstLine="0"/>
              <w:jc w:val="left"/>
              <w:rPr>
                <w:rFonts w:cs="Calibri"/>
                <w:sz w:val="18"/>
                <w:szCs w:val="18"/>
              </w:rPr>
            </w:pPr>
            <w:r w:rsidRPr="00465A26">
              <w:rPr>
                <w:rFonts w:cs="Calibri"/>
                <w:sz w:val="18"/>
                <w:szCs w:val="18"/>
              </w:rPr>
              <w:t>141</w:t>
            </w:r>
          </w:p>
        </w:tc>
        <w:tc>
          <w:tcPr>
            <w:tcW w:w="854" w:type="dxa"/>
            <w:vMerge w:val="restart"/>
            <w:vAlign w:val="center"/>
          </w:tcPr>
          <w:p w14:paraId="76C03707" w14:textId="77777777" w:rsidR="00254DF6" w:rsidRPr="00465A26" w:rsidRDefault="00254DF6" w:rsidP="00E21C70">
            <w:pPr>
              <w:pStyle w:val="Body"/>
              <w:ind w:firstLine="0"/>
              <w:jc w:val="left"/>
              <w:rPr>
                <w:rFonts w:cs="Calibri"/>
                <w:sz w:val="18"/>
                <w:szCs w:val="18"/>
              </w:rPr>
            </w:pPr>
            <w:r w:rsidRPr="00465A26">
              <w:rPr>
                <w:rFonts w:cs="Calibri"/>
                <w:sz w:val="18"/>
                <w:szCs w:val="18"/>
              </w:rPr>
              <w:t>74.113</w:t>
            </w:r>
          </w:p>
        </w:tc>
      </w:tr>
      <w:tr w:rsidR="00254DF6" w:rsidRPr="00465A26" w14:paraId="32A89631" w14:textId="77777777" w:rsidTr="00465A26">
        <w:trPr>
          <w:trHeight w:val="354"/>
          <w:jc w:val="center"/>
        </w:trPr>
        <w:tc>
          <w:tcPr>
            <w:tcW w:w="1605" w:type="dxa"/>
            <w:vAlign w:val="center"/>
          </w:tcPr>
          <w:p w14:paraId="30C35C77" w14:textId="77777777" w:rsidR="00254DF6" w:rsidRPr="00465A26" w:rsidRDefault="00254DF6" w:rsidP="00E21C70">
            <w:pPr>
              <w:pStyle w:val="Body"/>
              <w:ind w:firstLine="0"/>
              <w:jc w:val="left"/>
              <w:rPr>
                <w:rFonts w:cs="Calibri"/>
                <w:sz w:val="18"/>
                <w:szCs w:val="18"/>
              </w:rPr>
            </w:pPr>
            <w:r w:rsidRPr="00465A26">
              <w:rPr>
                <w:rFonts w:cs="Calibri"/>
                <w:sz w:val="18"/>
                <w:szCs w:val="18"/>
              </w:rPr>
              <w:t>Freight Cost</w:t>
            </w:r>
          </w:p>
        </w:tc>
        <w:tc>
          <w:tcPr>
            <w:tcW w:w="1154" w:type="dxa"/>
            <w:vAlign w:val="center"/>
          </w:tcPr>
          <w:p w14:paraId="51BF1C0B" w14:textId="77777777" w:rsidR="00254DF6" w:rsidRPr="00465A26" w:rsidRDefault="00254DF6" w:rsidP="00E21C70">
            <w:pPr>
              <w:pStyle w:val="Body"/>
              <w:ind w:firstLine="0"/>
              <w:jc w:val="left"/>
              <w:rPr>
                <w:rFonts w:cs="Calibri"/>
                <w:sz w:val="18"/>
                <w:szCs w:val="18"/>
              </w:rPr>
            </w:pPr>
            <w:r w:rsidRPr="00465A26">
              <w:rPr>
                <w:rFonts w:cs="Calibri"/>
                <w:sz w:val="18"/>
                <w:szCs w:val="18"/>
              </w:rPr>
              <w:t>300.000</w:t>
            </w:r>
          </w:p>
        </w:tc>
        <w:tc>
          <w:tcPr>
            <w:tcW w:w="1838" w:type="dxa"/>
            <w:vAlign w:val="center"/>
          </w:tcPr>
          <w:p w14:paraId="2BA3B188" w14:textId="77777777" w:rsidR="00254DF6" w:rsidRPr="00465A26" w:rsidRDefault="00254DF6" w:rsidP="00E21C70">
            <w:pPr>
              <w:pStyle w:val="Body"/>
              <w:ind w:firstLine="0"/>
              <w:jc w:val="left"/>
              <w:rPr>
                <w:rFonts w:cs="Calibri"/>
                <w:sz w:val="18"/>
                <w:szCs w:val="18"/>
              </w:rPr>
            </w:pPr>
            <w:r w:rsidRPr="00465A26">
              <w:rPr>
                <w:rFonts w:cs="Calibri"/>
                <w:sz w:val="18"/>
                <w:szCs w:val="18"/>
              </w:rPr>
              <w:t>3.300.000</w:t>
            </w:r>
          </w:p>
        </w:tc>
        <w:tc>
          <w:tcPr>
            <w:tcW w:w="927" w:type="dxa"/>
            <w:vMerge/>
            <w:vAlign w:val="center"/>
          </w:tcPr>
          <w:p w14:paraId="41DE7896" w14:textId="77777777" w:rsidR="00254DF6" w:rsidRPr="00465A26" w:rsidRDefault="00254DF6" w:rsidP="00E21C70">
            <w:pPr>
              <w:pStyle w:val="Body"/>
              <w:ind w:firstLine="0"/>
              <w:jc w:val="left"/>
              <w:rPr>
                <w:rFonts w:cs="Calibri"/>
                <w:sz w:val="18"/>
                <w:szCs w:val="18"/>
              </w:rPr>
            </w:pPr>
          </w:p>
        </w:tc>
        <w:tc>
          <w:tcPr>
            <w:tcW w:w="854" w:type="dxa"/>
            <w:vMerge/>
            <w:vAlign w:val="center"/>
          </w:tcPr>
          <w:p w14:paraId="0EC4E597" w14:textId="77777777" w:rsidR="00254DF6" w:rsidRPr="00465A26" w:rsidRDefault="00254DF6" w:rsidP="00E21C70">
            <w:pPr>
              <w:pStyle w:val="Body"/>
              <w:ind w:firstLine="0"/>
              <w:jc w:val="left"/>
              <w:rPr>
                <w:rFonts w:cs="Calibri"/>
                <w:sz w:val="18"/>
                <w:szCs w:val="18"/>
              </w:rPr>
            </w:pPr>
          </w:p>
        </w:tc>
      </w:tr>
      <w:tr w:rsidR="00254DF6" w:rsidRPr="00465A26" w14:paraId="3903004D" w14:textId="77777777" w:rsidTr="00465A26">
        <w:trPr>
          <w:trHeight w:val="354"/>
          <w:jc w:val="center"/>
        </w:trPr>
        <w:tc>
          <w:tcPr>
            <w:tcW w:w="1605" w:type="dxa"/>
            <w:vAlign w:val="center"/>
          </w:tcPr>
          <w:p w14:paraId="0896A275" w14:textId="77777777" w:rsidR="00254DF6" w:rsidRPr="00465A26" w:rsidRDefault="00254DF6" w:rsidP="00E21C70">
            <w:pPr>
              <w:pStyle w:val="Body"/>
              <w:ind w:firstLine="0"/>
              <w:jc w:val="left"/>
              <w:rPr>
                <w:rFonts w:cs="Calibri"/>
                <w:sz w:val="18"/>
                <w:szCs w:val="18"/>
              </w:rPr>
            </w:pPr>
            <w:r w:rsidRPr="00465A26">
              <w:rPr>
                <w:rFonts w:cs="Calibri"/>
                <w:sz w:val="18"/>
                <w:szCs w:val="18"/>
              </w:rPr>
              <w:t>Transportation Cost</w:t>
            </w:r>
          </w:p>
        </w:tc>
        <w:tc>
          <w:tcPr>
            <w:tcW w:w="1154" w:type="dxa"/>
            <w:vAlign w:val="center"/>
          </w:tcPr>
          <w:p w14:paraId="15E30F04" w14:textId="77777777" w:rsidR="00254DF6" w:rsidRPr="00465A26" w:rsidRDefault="00254DF6" w:rsidP="00E21C70">
            <w:pPr>
              <w:pStyle w:val="Body"/>
              <w:ind w:firstLine="0"/>
              <w:jc w:val="left"/>
              <w:rPr>
                <w:rFonts w:cs="Calibri"/>
                <w:sz w:val="18"/>
                <w:szCs w:val="18"/>
              </w:rPr>
            </w:pPr>
            <w:r w:rsidRPr="00465A26">
              <w:rPr>
                <w:rFonts w:cs="Calibri"/>
                <w:sz w:val="18"/>
                <w:szCs w:val="18"/>
              </w:rPr>
              <w:t>600.000</w:t>
            </w:r>
          </w:p>
        </w:tc>
        <w:tc>
          <w:tcPr>
            <w:tcW w:w="1838" w:type="dxa"/>
            <w:vAlign w:val="center"/>
          </w:tcPr>
          <w:p w14:paraId="42C3BBE2" w14:textId="77777777" w:rsidR="00254DF6" w:rsidRPr="00465A26" w:rsidRDefault="00254DF6" w:rsidP="00E21C70">
            <w:pPr>
              <w:pStyle w:val="Body"/>
              <w:ind w:firstLine="0"/>
              <w:jc w:val="left"/>
              <w:rPr>
                <w:rFonts w:cs="Calibri"/>
                <w:sz w:val="18"/>
                <w:szCs w:val="18"/>
              </w:rPr>
            </w:pPr>
            <w:r w:rsidRPr="00465A26">
              <w:rPr>
                <w:rFonts w:cs="Calibri"/>
                <w:sz w:val="18"/>
                <w:szCs w:val="18"/>
              </w:rPr>
              <w:t>6.600.000</w:t>
            </w:r>
          </w:p>
        </w:tc>
        <w:tc>
          <w:tcPr>
            <w:tcW w:w="927" w:type="dxa"/>
            <w:vMerge/>
            <w:vAlign w:val="center"/>
          </w:tcPr>
          <w:p w14:paraId="6A0BA61D" w14:textId="77777777" w:rsidR="00254DF6" w:rsidRPr="00465A26" w:rsidRDefault="00254DF6" w:rsidP="00E21C70">
            <w:pPr>
              <w:pStyle w:val="Body"/>
              <w:ind w:firstLine="0"/>
              <w:jc w:val="left"/>
              <w:rPr>
                <w:rFonts w:cs="Calibri"/>
                <w:sz w:val="18"/>
                <w:szCs w:val="18"/>
              </w:rPr>
            </w:pPr>
          </w:p>
        </w:tc>
        <w:tc>
          <w:tcPr>
            <w:tcW w:w="854" w:type="dxa"/>
            <w:vMerge/>
            <w:vAlign w:val="center"/>
          </w:tcPr>
          <w:p w14:paraId="5BF09EA5" w14:textId="77777777" w:rsidR="00254DF6" w:rsidRPr="00465A26" w:rsidRDefault="00254DF6" w:rsidP="00E21C70">
            <w:pPr>
              <w:pStyle w:val="Body"/>
              <w:ind w:firstLine="0"/>
              <w:jc w:val="left"/>
              <w:rPr>
                <w:rFonts w:cs="Calibri"/>
                <w:sz w:val="18"/>
                <w:szCs w:val="18"/>
              </w:rPr>
            </w:pPr>
          </w:p>
        </w:tc>
      </w:tr>
      <w:tr w:rsidR="00254DF6" w:rsidRPr="00465A26" w14:paraId="21053A4B" w14:textId="77777777" w:rsidTr="00465A26">
        <w:trPr>
          <w:trHeight w:val="158"/>
          <w:jc w:val="center"/>
        </w:trPr>
        <w:tc>
          <w:tcPr>
            <w:tcW w:w="1605" w:type="dxa"/>
            <w:vAlign w:val="center"/>
          </w:tcPr>
          <w:p w14:paraId="432F5414" w14:textId="77777777" w:rsidR="00254DF6" w:rsidRPr="00465A26" w:rsidRDefault="00254DF6" w:rsidP="00E21C70">
            <w:pPr>
              <w:pStyle w:val="Body"/>
              <w:ind w:firstLine="0"/>
              <w:jc w:val="left"/>
              <w:rPr>
                <w:rFonts w:cs="Calibri"/>
                <w:sz w:val="18"/>
                <w:szCs w:val="18"/>
              </w:rPr>
            </w:pPr>
            <w:r w:rsidRPr="00465A26">
              <w:rPr>
                <w:rFonts w:cs="Calibri"/>
                <w:sz w:val="18"/>
                <w:szCs w:val="18"/>
              </w:rPr>
              <w:t>Total</w:t>
            </w:r>
          </w:p>
        </w:tc>
        <w:tc>
          <w:tcPr>
            <w:tcW w:w="1154" w:type="dxa"/>
            <w:vAlign w:val="center"/>
          </w:tcPr>
          <w:p w14:paraId="09B94F65" w14:textId="77777777" w:rsidR="00254DF6" w:rsidRPr="00465A26" w:rsidRDefault="00254DF6" w:rsidP="00E21C70">
            <w:pPr>
              <w:pStyle w:val="Body"/>
              <w:ind w:firstLine="0"/>
              <w:jc w:val="left"/>
              <w:rPr>
                <w:rFonts w:cs="Calibri"/>
                <w:sz w:val="18"/>
                <w:szCs w:val="18"/>
              </w:rPr>
            </w:pPr>
            <w:r w:rsidRPr="00465A26">
              <w:rPr>
                <w:rFonts w:cs="Calibri"/>
                <w:sz w:val="18"/>
                <w:szCs w:val="18"/>
              </w:rPr>
              <w:t>950.000</w:t>
            </w:r>
          </w:p>
        </w:tc>
        <w:tc>
          <w:tcPr>
            <w:tcW w:w="1838" w:type="dxa"/>
            <w:vAlign w:val="center"/>
          </w:tcPr>
          <w:p w14:paraId="25279E26" w14:textId="77777777" w:rsidR="00254DF6" w:rsidRPr="00465A26" w:rsidRDefault="00254DF6" w:rsidP="00E21C70">
            <w:pPr>
              <w:pStyle w:val="Body"/>
              <w:ind w:firstLine="0"/>
              <w:jc w:val="left"/>
              <w:rPr>
                <w:rFonts w:cs="Calibri"/>
                <w:sz w:val="18"/>
                <w:szCs w:val="18"/>
              </w:rPr>
            </w:pPr>
            <w:r w:rsidRPr="00465A26">
              <w:rPr>
                <w:rFonts w:cs="Calibri"/>
                <w:sz w:val="18"/>
                <w:szCs w:val="18"/>
              </w:rPr>
              <w:t>10.450.000</w:t>
            </w:r>
          </w:p>
        </w:tc>
        <w:tc>
          <w:tcPr>
            <w:tcW w:w="927" w:type="dxa"/>
            <w:vMerge/>
            <w:vAlign w:val="center"/>
          </w:tcPr>
          <w:p w14:paraId="7BEAE414" w14:textId="77777777" w:rsidR="00254DF6" w:rsidRPr="00465A26" w:rsidRDefault="00254DF6" w:rsidP="00E21C70">
            <w:pPr>
              <w:pStyle w:val="Body"/>
              <w:ind w:firstLine="0"/>
              <w:jc w:val="left"/>
              <w:rPr>
                <w:rFonts w:cs="Calibri"/>
                <w:sz w:val="18"/>
                <w:szCs w:val="18"/>
              </w:rPr>
            </w:pPr>
          </w:p>
        </w:tc>
        <w:tc>
          <w:tcPr>
            <w:tcW w:w="854" w:type="dxa"/>
            <w:vMerge/>
            <w:vAlign w:val="center"/>
          </w:tcPr>
          <w:p w14:paraId="7D3CD005" w14:textId="77777777" w:rsidR="00254DF6" w:rsidRPr="00465A26" w:rsidRDefault="00254DF6" w:rsidP="00E21C70">
            <w:pPr>
              <w:pStyle w:val="Body"/>
              <w:ind w:firstLine="0"/>
              <w:jc w:val="left"/>
              <w:rPr>
                <w:rFonts w:cs="Calibri"/>
                <w:sz w:val="18"/>
                <w:szCs w:val="18"/>
              </w:rPr>
            </w:pPr>
          </w:p>
        </w:tc>
      </w:tr>
    </w:tbl>
    <w:p w14:paraId="609A0711" w14:textId="77777777" w:rsidR="00254DF6" w:rsidRPr="00F90251" w:rsidRDefault="00254DF6" w:rsidP="00465A26">
      <w:pPr>
        <w:pStyle w:val="Body"/>
        <w:spacing w:after="120"/>
        <w:ind w:firstLine="0"/>
        <w:jc w:val="center"/>
        <w:rPr>
          <w:sz w:val="18"/>
          <w:szCs w:val="18"/>
        </w:rPr>
      </w:pPr>
      <w:r w:rsidRPr="00F90251">
        <w:rPr>
          <w:sz w:val="18"/>
          <w:szCs w:val="18"/>
        </w:rPr>
        <w:t>Note: FP= Order Frequency, BP= Ordering Cost per Order</w:t>
      </w:r>
    </w:p>
    <w:p w14:paraId="100DFD62" w14:textId="77777777" w:rsidR="00254DF6" w:rsidRPr="003D7A01" w:rsidRDefault="00254DF6" w:rsidP="00465A26">
      <w:pPr>
        <w:pStyle w:val="BodyText"/>
        <w:spacing w:after="0" w:line="276" w:lineRule="auto"/>
        <w:ind w:firstLine="567"/>
        <w:rPr>
          <w:rFonts w:eastAsia="Times New Roman"/>
          <w:sz w:val="20"/>
        </w:rPr>
      </w:pPr>
      <w:r w:rsidRPr="003D7A01">
        <w:rPr>
          <w:rFonts w:eastAsia="Times New Roman"/>
          <w:sz w:val="20"/>
        </w:rPr>
        <w:t xml:space="preserve">The observation results indicate that the components of ordering costs consist of telephone, transportation, and handling </w:t>
      </w:r>
      <w:r w:rsidRPr="00465A26">
        <w:rPr>
          <w:color w:val="000000"/>
          <w:sz w:val="20"/>
          <w:szCs w:val="18"/>
        </w:rPr>
        <w:t>expenses</w:t>
      </w:r>
      <w:r w:rsidRPr="003D7A01">
        <w:rPr>
          <w:rFonts w:eastAsia="Times New Roman"/>
          <w:sz w:val="20"/>
        </w:rPr>
        <w:t>, with an average monthly expenditure of IDR 950,000. Over one period, the total ordering cost amounts to IDR 10,450,000. Furthermore, the ordering cost per transaction is calculated by dividing the total ordering cost in one period by the number of ordering frequencies. Based on this calculation, the average ordering cost is IDR 74,113 per transaction, as presented in Table 2.</w:t>
      </w:r>
    </w:p>
    <w:p w14:paraId="43218315" w14:textId="77777777" w:rsidR="00465A26" w:rsidRDefault="00465A26" w:rsidP="0003786E">
      <w:pPr>
        <w:pStyle w:val="BodyText"/>
        <w:spacing w:after="0"/>
        <w:ind w:firstLine="0"/>
        <w:rPr>
          <w:b/>
          <w:bCs/>
          <w:sz w:val="20"/>
          <w:szCs w:val="18"/>
        </w:rPr>
      </w:pPr>
    </w:p>
    <w:p w14:paraId="03BE42CA" w14:textId="0C736CCC" w:rsidR="00254DF6" w:rsidRPr="003D7A01" w:rsidRDefault="00254DF6" w:rsidP="00465A26">
      <w:pPr>
        <w:pStyle w:val="BodyText"/>
        <w:ind w:firstLine="0"/>
        <w:rPr>
          <w:b/>
          <w:bCs/>
          <w:sz w:val="20"/>
          <w:szCs w:val="18"/>
        </w:rPr>
      </w:pPr>
      <w:r w:rsidRPr="003D7A01">
        <w:rPr>
          <w:b/>
          <w:bCs/>
          <w:sz w:val="20"/>
          <w:szCs w:val="18"/>
        </w:rPr>
        <w:t>3.4 Holding Cost</w:t>
      </w:r>
    </w:p>
    <w:p w14:paraId="1FD97EDA" w14:textId="5CBF4EFF" w:rsidR="00254DF6" w:rsidRPr="003D7A01" w:rsidRDefault="00254DF6" w:rsidP="00457444">
      <w:pPr>
        <w:pStyle w:val="BodyText"/>
        <w:spacing w:after="0" w:line="276" w:lineRule="auto"/>
        <w:ind w:firstLine="567"/>
        <w:rPr>
          <w:rFonts w:eastAsia="Times New Roman"/>
          <w:sz w:val="20"/>
        </w:rPr>
      </w:pPr>
      <w:r w:rsidRPr="003D7A01">
        <w:rPr>
          <w:rFonts w:eastAsia="Times New Roman"/>
          <w:sz w:val="20"/>
        </w:rPr>
        <w:t xml:space="preserve">Holding cost is defined as the expenses incurred as a result of raw material storage activities. The magnitude of this cost </w:t>
      </w:r>
      <w:r w:rsidRPr="00465A26">
        <w:rPr>
          <w:sz w:val="20"/>
        </w:rPr>
        <w:t>is</w:t>
      </w:r>
      <w:r w:rsidRPr="003D7A01">
        <w:rPr>
          <w:rFonts w:eastAsia="Times New Roman"/>
          <w:sz w:val="20"/>
        </w:rPr>
        <w:t xml:space="preserve"> directly proportional to the quantity of raw materials ordered; the higher the order volume, the greater the holding cost incurred within a given period, and vice versa. Holding cost SME Table 3 presents the components of holding costs for one period. The holding costs in this industry arise solely from electricity consumption used for lighting the storage area</w:t>
      </w:r>
      <w:r w:rsidRPr="003D7A01">
        <w:t xml:space="preserve">. </w:t>
      </w:r>
      <w:r w:rsidRPr="003D7A01">
        <w:rPr>
          <w:rFonts w:eastAsia="Times New Roman"/>
          <w:sz w:val="20"/>
        </w:rPr>
        <w:t xml:space="preserve">In this SME, material handling is done manually, so depreciation of equipment cannot be calculated. The SME does not have workers dedicated to warehousing tasks; warehousing work is done by the owner and is not included in warehouse </w:t>
      </w:r>
      <w:proofErr w:type="spellStart"/>
      <w:r w:rsidRPr="003D7A01">
        <w:rPr>
          <w:rFonts w:eastAsia="Times New Roman"/>
          <w:sz w:val="20"/>
        </w:rPr>
        <w:t>labour</w:t>
      </w:r>
      <w:proofErr w:type="spellEnd"/>
      <w:r w:rsidRPr="003D7A01">
        <w:rPr>
          <w:rFonts w:eastAsia="Times New Roman"/>
          <w:sz w:val="20"/>
        </w:rPr>
        <w:t xml:space="preserve"> costs. Therefore, the most crucial cost is electricity for lighting the storage area. The installed lamp has a power rating of 30 watts and operates for 12 hours per day, resulting in an energy consumption of 0.6 kWh per day. The total holding cost from energy consumption, based on the applicable electricity tariff for one period, amounts to IDR 171,547.</w:t>
      </w:r>
    </w:p>
    <w:p w14:paraId="75E42545" w14:textId="77777777" w:rsidR="00254DF6" w:rsidRPr="00465A26" w:rsidRDefault="00254DF6" w:rsidP="0003786E">
      <w:pPr>
        <w:pStyle w:val="tablehead"/>
        <w:numPr>
          <w:ilvl w:val="0"/>
          <w:numId w:val="0"/>
        </w:numPr>
        <w:spacing w:before="120"/>
        <w:ind w:left="357"/>
        <w:rPr>
          <w:rFonts w:ascii="Times New Roman" w:eastAsia="MS Mincho" w:hAnsi="Times New Roman"/>
          <w:spacing w:val="-1"/>
        </w:rPr>
      </w:pPr>
      <w:r w:rsidRPr="00465A26">
        <w:rPr>
          <w:rFonts w:ascii="Times New Roman" w:hAnsi="Times New Roman"/>
          <w:b/>
          <w:bCs/>
        </w:rPr>
        <w:t xml:space="preserve">Table 3. </w:t>
      </w:r>
      <w:r w:rsidRPr="00465A26">
        <w:rPr>
          <w:rFonts w:ascii="Times New Roman" w:hAnsi="Times New Roman"/>
        </w:rPr>
        <w:t>Holding Cost for One Period</w:t>
      </w:r>
    </w:p>
    <w:tbl>
      <w:tblPr>
        <w:tblW w:w="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1"/>
        <w:gridCol w:w="1027"/>
        <w:gridCol w:w="956"/>
        <w:gridCol w:w="1020"/>
        <w:gridCol w:w="1122"/>
      </w:tblGrid>
      <w:tr w:rsidR="00254DF6" w:rsidRPr="00465A26" w14:paraId="0C09677B" w14:textId="77777777" w:rsidTr="00E21C70">
        <w:trPr>
          <w:trHeight w:val="800"/>
          <w:tblHeader/>
          <w:jc w:val="center"/>
        </w:trPr>
        <w:tc>
          <w:tcPr>
            <w:tcW w:w="1324" w:type="dxa"/>
          </w:tcPr>
          <w:p w14:paraId="4C76B69F" w14:textId="77777777" w:rsidR="00254DF6" w:rsidRPr="00465A26" w:rsidRDefault="00254DF6" w:rsidP="00E21C70">
            <w:pPr>
              <w:jc w:val="center"/>
              <w:rPr>
                <w:rFonts w:ascii="Times New Roman" w:hAnsi="Times New Roman"/>
                <w:b/>
                <w:bCs/>
                <w:sz w:val="18"/>
                <w:szCs w:val="18"/>
              </w:rPr>
            </w:pPr>
            <w:r w:rsidRPr="00465A26">
              <w:rPr>
                <w:rFonts w:ascii="Times New Roman" w:hAnsi="Times New Roman"/>
                <w:b/>
                <w:bCs/>
                <w:sz w:val="18"/>
                <w:szCs w:val="18"/>
              </w:rPr>
              <w:t>Component</w:t>
            </w:r>
          </w:p>
        </w:tc>
        <w:tc>
          <w:tcPr>
            <w:tcW w:w="1028" w:type="dxa"/>
          </w:tcPr>
          <w:p w14:paraId="0148DF3C" w14:textId="77777777" w:rsidR="00254DF6" w:rsidRPr="00465A26" w:rsidRDefault="00254DF6" w:rsidP="00E21C70">
            <w:pPr>
              <w:jc w:val="center"/>
              <w:rPr>
                <w:rFonts w:ascii="Times New Roman" w:hAnsi="Times New Roman"/>
                <w:b/>
                <w:bCs/>
                <w:sz w:val="18"/>
                <w:szCs w:val="18"/>
              </w:rPr>
            </w:pPr>
            <w:r w:rsidRPr="00465A26">
              <w:rPr>
                <w:rFonts w:ascii="Times New Roman" w:hAnsi="Times New Roman"/>
                <w:b/>
                <w:bCs/>
                <w:sz w:val="18"/>
                <w:szCs w:val="18"/>
              </w:rPr>
              <w:t>Electrical Power</w:t>
            </w:r>
          </w:p>
          <w:p w14:paraId="63A8C2BB" w14:textId="77777777" w:rsidR="00254DF6" w:rsidRPr="00465A26" w:rsidRDefault="00254DF6" w:rsidP="00E21C70">
            <w:pPr>
              <w:jc w:val="center"/>
              <w:rPr>
                <w:rFonts w:ascii="Times New Roman" w:hAnsi="Times New Roman"/>
                <w:b/>
                <w:bCs/>
                <w:sz w:val="18"/>
                <w:szCs w:val="18"/>
              </w:rPr>
            </w:pPr>
            <w:r w:rsidRPr="00465A26">
              <w:rPr>
                <w:rFonts w:ascii="Times New Roman" w:hAnsi="Times New Roman"/>
                <w:b/>
                <w:bCs/>
                <w:sz w:val="18"/>
                <w:szCs w:val="18"/>
              </w:rPr>
              <w:t>(kWh)</w:t>
            </w:r>
          </w:p>
        </w:tc>
        <w:tc>
          <w:tcPr>
            <w:tcW w:w="943" w:type="dxa"/>
          </w:tcPr>
          <w:p w14:paraId="5C437A24" w14:textId="77777777" w:rsidR="00254DF6" w:rsidRPr="00465A26" w:rsidRDefault="00254DF6" w:rsidP="00E21C70">
            <w:pPr>
              <w:rPr>
                <w:rFonts w:ascii="Times New Roman" w:hAnsi="Times New Roman"/>
                <w:b/>
                <w:bCs/>
                <w:sz w:val="18"/>
                <w:szCs w:val="18"/>
              </w:rPr>
            </w:pPr>
            <w:r w:rsidRPr="00465A26">
              <w:rPr>
                <w:rFonts w:ascii="Times New Roman" w:hAnsi="Times New Roman"/>
                <w:b/>
                <w:bCs/>
                <w:sz w:val="18"/>
                <w:szCs w:val="18"/>
              </w:rPr>
              <w:t>Cost/ Electrical Power (IDR)</w:t>
            </w:r>
          </w:p>
        </w:tc>
        <w:tc>
          <w:tcPr>
            <w:tcW w:w="1024" w:type="dxa"/>
          </w:tcPr>
          <w:p w14:paraId="23B1A633" w14:textId="77777777" w:rsidR="00254DF6" w:rsidRPr="00465A26" w:rsidRDefault="00254DF6" w:rsidP="00E21C70">
            <w:pPr>
              <w:spacing w:after="0"/>
              <w:rPr>
                <w:rFonts w:ascii="Times New Roman" w:hAnsi="Times New Roman"/>
                <w:b/>
                <w:bCs/>
                <w:sz w:val="18"/>
                <w:szCs w:val="18"/>
              </w:rPr>
            </w:pPr>
            <w:r w:rsidRPr="00465A26">
              <w:rPr>
                <w:rFonts w:ascii="Times New Roman" w:hAnsi="Times New Roman"/>
                <w:b/>
                <w:bCs/>
                <w:sz w:val="18"/>
                <w:szCs w:val="18"/>
              </w:rPr>
              <w:t xml:space="preserve">Cost/ </w:t>
            </w:r>
          </w:p>
          <w:p w14:paraId="7141B450" w14:textId="77777777" w:rsidR="00254DF6" w:rsidRPr="00465A26" w:rsidRDefault="00254DF6" w:rsidP="00E21C70">
            <w:pPr>
              <w:rPr>
                <w:rFonts w:ascii="Times New Roman" w:hAnsi="Times New Roman"/>
                <w:b/>
                <w:bCs/>
                <w:sz w:val="18"/>
                <w:szCs w:val="18"/>
              </w:rPr>
            </w:pPr>
            <w:r w:rsidRPr="00465A26">
              <w:rPr>
                <w:rFonts w:ascii="Times New Roman" w:hAnsi="Times New Roman"/>
                <w:b/>
                <w:bCs/>
                <w:sz w:val="18"/>
                <w:szCs w:val="18"/>
              </w:rPr>
              <w:t xml:space="preserve">Month </w:t>
            </w:r>
          </w:p>
          <w:p w14:paraId="00AF4D57" w14:textId="77777777" w:rsidR="00254DF6" w:rsidRPr="00465A26" w:rsidRDefault="00254DF6" w:rsidP="00E21C70">
            <w:pPr>
              <w:rPr>
                <w:rFonts w:ascii="Times New Roman" w:hAnsi="Times New Roman"/>
                <w:b/>
                <w:bCs/>
                <w:sz w:val="18"/>
                <w:szCs w:val="18"/>
              </w:rPr>
            </w:pPr>
            <w:r w:rsidRPr="00465A26">
              <w:rPr>
                <w:rFonts w:ascii="Times New Roman" w:hAnsi="Times New Roman"/>
                <w:b/>
                <w:bCs/>
                <w:sz w:val="18"/>
                <w:szCs w:val="18"/>
              </w:rPr>
              <w:t>(IDR)</w:t>
            </w:r>
          </w:p>
        </w:tc>
        <w:tc>
          <w:tcPr>
            <w:tcW w:w="1127" w:type="dxa"/>
          </w:tcPr>
          <w:p w14:paraId="6036A1D9" w14:textId="77777777" w:rsidR="00254DF6" w:rsidRPr="00465A26" w:rsidRDefault="00254DF6" w:rsidP="00E21C70">
            <w:pPr>
              <w:spacing w:after="0"/>
              <w:rPr>
                <w:rFonts w:ascii="Times New Roman" w:hAnsi="Times New Roman"/>
                <w:b/>
                <w:bCs/>
                <w:sz w:val="18"/>
                <w:szCs w:val="18"/>
              </w:rPr>
            </w:pPr>
            <w:r w:rsidRPr="00465A26">
              <w:rPr>
                <w:rFonts w:ascii="Times New Roman" w:hAnsi="Times New Roman"/>
                <w:b/>
                <w:bCs/>
                <w:sz w:val="18"/>
                <w:szCs w:val="18"/>
              </w:rPr>
              <w:t xml:space="preserve">Cost/ </w:t>
            </w:r>
          </w:p>
          <w:p w14:paraId="2AEBF839" w14:textId="77777777" w:rsidR="00254DF6" w:rsidRPr="00465A26" w:rsidRDefault="00254DF6" w:rsidP="00E21C70">
            <w:pPr>
              <w:rPr>
                <w:rFonts w:ascii="Times New Roman" w:hAnsi="Times New Roman"/>
                <w:b/>
                <w:bCs/>
                <w:sz w:val="18"/>
                <w:szCs w:val="18"/>
              </w:rPr>
            </w:pPr>
            <w:r w:rsidRPr="00465A26">
              <w:rPr>
                <w:rFonts w:ascii="Times New Roman" w:hAnsi="Times New Roman"/>
                <w:b/>
                <w:bCs/>
                <w:sz w:val="18"/>
                <w:szCs w:val="18"/>
              </w:rPr>
              <w:t xml:space="preserve">Period </w:t>
            </w:r>
          </w:p>
          <w:p w14:paraId="399E6159" w14:textId="77777777" w:rsidR="00254DF6" w:rsidRPr="00465A26" w:rsidRDefault="00254DF6" w:rsidP="00E21C70">
            <w:pPr>
              <w:rPr>
                <w:rFonts w:ascii="Times New Roman" w:hAnsi="Times New Roman"/>
                <w:b/>
                <w:bCs/>
                <w:sz w:val="18"/>
                <w:szCs w:val="18"/>
              </w:rPr>
            </w:pPr>
            <w:r w:rsidRPr="00465A26">
              <w:rPr>
                <w:rFonts w:ascii="Times New Roman" w:hAnsi="Times New Roman"/>
                <w:b/>
                <w:bCs/>
                <w:sz w:val="18"/>
                <w:szCs w:val="18"/>
              </w:rPr>
              <w:t>(IDR)</w:t>
            </w:r>
          </w:p>
        </w:tc>
      </w:tr>
      <w:tr w:rsidR="00254DF6" w:rsidRPr="00465A26" w14:paraId="3F257431" w14:textId="77777777" w:rsidTr="00E21C70">
        <w:trPr>
          <w:trHeight w:val="381"/>
          <w:jc w:val="center"/>
        </w:trPr>
        <w:tc>
          <w:tcPr>
            <w:tcW w:w="1324" w:type="dxa"/>
          </w:tcPr>
          <w:p w14:paraId="5FD38C7C" w14:textId="77777777" w:rsidR="00254DF6" w:rsidRPr="00465A26" w:rsidRDefault="00254DF6" w:rsidP="00E21C70">
            <w:pPr>
              <w:rPr>
                <w:rFonts w:ascii="Times New Roman" w:hAnsi="Times New Roman"/>
                <w:sz w:val="18"/>
                <w:szCs w:val="18"/>
              </w:rPr>
            </w:pPr>
            <w:r w:rsidRPr="00465A26">
              <w:rPr>
                <w:rFonts w:ascii="Times New Roman" w:hAnsi="Times New Roman"/>
                <w:sz w:val="18"/>
                <w:szCs w:val="18"/>
              </w:rPr>
              <w:t>Electricity Cost</w:t>
            </w:r>
          </w:p>
        </w:tc>
        <w:tc>
          <w:tcPr>
            <w:tcW w:w="1028" w:type="dxa"/>
            <w:vAlign w:val="center"/>
          </w:tcPr>
          <w:p w14:paraId="51C150BB" w14:textId="77777777" w:rsidR="00254DF6" w:rsidRPr="00465A26" w:rsidRDefault="00254DF6" w:rsidP="00E21C70">
            <w:pPr>
              <w:jc w:val="center"/>
              <w:rPr>
                <w:rFonts w:ascii="Times New Roman" w:hAnsi="Times New Roman"/>
                <w:sz w:val="18"/>
                <w:szCs w:val="18"/>
              </w:rPr>
            </w:pPr>
            <w:r w:rsidRPr="00465A26">
              <w:rPr>
                <w:rFonts w:ascii="Times New Roman" w:hAnsi="Times New Roman"/>
                <w:sz w:val="18"/>
                <w:szCs w:val="18"/>
              </w:rPr>
              <w:t>0,36</w:t>
            </w:r>
          </w:p>
        </w:tc>
        <w:tc>
          <w:tcPr>
            <w:tcW w:w="943" w:type="dxa"/>
            <w:vAlign w:val="center"/>
          </w:tcPr>
          <w:p w14:paraId="0042EE0E" w14:textId="77777777" w:rsidR="00254DF6" w:rsidRPr="00465A26" w:rsidRDefault="00254DF6" w:rsidP="00E21C70">
            <w:pPr>
              <w:rPr>
                <w:rFonts w:ascii="Times New Roman" w:hAnsi="Times New Roman"/>
                <w:sz w:val="18"/>
                <w:szCs w:val="18"/>
              </w:rPr>
            </w:pPr>
            <w:r w:rsidRPr="00465A26">
              <w:rPr>
                <w:rFonts w:ascii="Times New Roman" w:hAnsi="Times New Roman"/>
                <w:sz w:val="18"/>
                <w:szCs w:val="18"/>
              </w:rPr>
              <w:t>1.444</w:t>
            </w:r>
          </w:p>
        </w:tc>
        <w:tc>
          <w:tcPr>
            <w:tcW w:w="1024" w:type="dxa"/>
            <w:vAlign w:val="center"/>
          </w:tcPr>
          <w:p w14:paraId="22B33394" w14:textId="77777777" w:rsidR="00254DF6" w:rsidRPr="00465A26" w:rsidRDefault="00254DF6" w:rsidP="00E21C70">
            <w:pPr>
              <w:rPr>
                <w:rFonts w:ascii="Times New Roman" w:hAnsi="Times New Roman"/>
                <w:sz w:val="18"/>
                <w:szCs w:val="18"/>
              </w:rPr>
            </w:pPr>
            <w:r w:rsidRPr="00465A26">
              <w:rPr>
                <w:rFonts w:ascii="Times New Roman" w:hAnsi="Times New Roman"/>
                <w:sz w:val="18"/>
                <w:szCs w:val="18"/>
              </w:rPr>
              <w:t>15.595</w:t>
            </w:r>
          </w:p>
        </w:tc>
        <w:tc>
          <w:tcPr>
            <w:tcW w:w="1127" w:type="dxa"/>
            <w:vAlign w:val="center"/>
          </w:tcPr>
          <w:p w14:paraId="4FCE79DA" w14:textId="77777777" w:rsidR="00254DF6" w:rsidRPr="00465A26" w:rsidRDefault="00254DF6" w:rsidP="00E21C70">
            <w:pPr>
              <w:rPr>
                <w:rFonts w:ascii="Times New Roman" w:hAnsi="Times New Roman"/>
                <w:sz w:val="18"/>
                <w:szCs w:val="18"/>
              </w:rPr>
            </w:pPr>
            <w:r w:rsidRPr="00465A26">
              <w:rPr>
                <w:rFonts w:ascii="Times New Roman" w:hAnsi="Times New Roman"/>
                <w:sz w:val="18"/>
                <w:szCs w:val="18"/>
              </w:rPr>
              <w:t>171.547</w:t>
            </w:r>
          </w:p>
        </w:tc>
      </w:tr>
    </w:tbl>
    <w:p w14:paraId="1AE74708" w14:textId="77777777" w:rsidR="00254DF6" w:rsidRPr="003D7A01" w:rsidRDefault="00254DF6" w:rsidP="0003786E">
      <w:pPr>
        <w:pStyle w:val="BodyText"/>
        <w:spacing w:before="240"/>
        <w:ind w:firstLine="0"/>
        <w:rPr>
          <w:b/>
          <w:bCs/>
          <w:sz w:val="20"/>
          <w:szCs w:val="18"/>
        </w:rPr>
      </w:pPr>
      <w:r w:rsidRPr="003D7A01">
        <w:rPr>
          <w:b/>
          <w:bCs/>
          <w:sz w:val="20"/>
          <w:szCs w:val="18"/>
        </w:rPr>
        <w:t>3.5 Economic Order Quantity (EOQ)</w:t>
      </w:r>
    </w:p>
    <w:p w14:paraId="359CBF78" w14:textId="77777777" w:rsidR="00254DF6" w:rsidRPr="003D7A01" w:rsidRDefault="00254DF6" w:rsidP="00465A26">
      <w:pPr>
        <w:pStyle w:val="BodyText"/>
        <w:spacing w:after="0" w:line="276" w:lineRule="auto"/>
        <w:ind w:firstLine="567"/>
        <w:rPr>
          <w:sz w:val="20"/>
        </w:rPr>
      </w:pPr>
      <w:r w:rsidRPr="003D7A01">
        <w:rPr>
          <w:sz w:val="20"/>
        </w:rPr>
        <w:t xml:space="preserve">The EOQ calculation is based on the total raw material requirement of Tempe Galang over one period, amounting to 5,478 kg. </w:t>
      </w:r>
      <w:r w:rsidRPr="00465A26">
        <w:rPr>
          <w:rFonts w:eastAsia="Times New Roman"/>
          <w:sz w:val="20"/>
        </w:rPr>
        <w:t>The</w:t>
      </w:r>
      <w:r w:rsidRPr="003D7A01">
        <w:rPr>
          <w:sz w:val="20"/>
        </w:rPr>
        <w:t xml:space="preserve"> parameters used in the EOQ calculation include ordering cost (S) of IDR 74,113, holding cost (H) of IDR 171,547, and a raw material demand of 5,478 kg per period. The comparison of optimal order quantities before and after the implementation of EOQ is presented in Table 4. The results (Table 4) indicate that the optimal order quantity for raw materials is 69 kg per order.</w:t>
      </w:r>
    </w:p>
    <w:p w14:paraId="596A35F5" w14:textId="77777777" w:rsidR="00254DF6" w:rsidRPr="00465A26" w:rsidRDefault="00254DF6" w:rsidP="0003786E">
      <w:pPr>
        <w:pStyle w:val="tablehead"/>
        <w:numPr>
          <w:ilvl w:val="0"/>
          <w:numId w:val="0"/>
        </w:numPr>
        <w:spacing w:before="120"/>
        <w:ind w:left="357"/>
        <w:rPr>
          <w:rFonts w:ascii="Times New Roman" w:eastAsia="MS Mincho" w:hAnsi="Times New Roman"/>
          <w:spacing w:val="-1"/>
        </w:rPr>
      </w:pPr>
      <w:r w:rsidRPr="00465A26">
        <w:rPr>
          <w:rFonts w:ascii="Times New Roman" w:hAnsi="Times New Roman"/>
          <w:b/>
          <w:bCs/>
        </w:rPr>
        <w:t xml:space="preserve">Table 4. </w:t>
      </w:r>
      <w:r w:rsidRPr="00465A26">
        <w:rPr>
          <w:rFonts w:ascii="Times New Roman" w:hAnsi="Times New Roman"/>
        </w:rPr>
        <w:t>Optimal Order Quantity of Raw Material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2268"/>
        <w:gridCol w:w="1912"/>
      </w:tblGrid>
      <w:tr w:rsidR="00254DF6" w:rsidRPr="00465A26" w14:paraId="1D0AF5FE" w14:textId="77777777" w:rsidTr="00465A26">
        <w:trPr>
          <w:trHeight w:val="20"/>
          <w:tblHeader/>
          <w:jc w:val="center"/>
        </w:trPr>
        <w:tc>
          <w:tcPr>
            <w:tcW w:w="2268" w:type="dxa"/>
            <w:vAlign w:val="center"/>
          </w:tcPr>
          <w:p w14:paraId="5AA4F043" w14:textId="77777777" w:rsidR="00254DF6" w:rsidRPr="00465A26" w:rsidRDefault="00254DF6" w:rsidP="00465A26">
            <w:pPr>
              <w:spacing w:line="240" w:lineRule="auto"/>
              <w:jc w:val="center"/>
              <w:rPr>
                <w:rFonts w:ascii="Times New Roman" w:hAnsi="Times New Roman"/>
                <w:b/>
                <w:bCs/>
                <w:sz w:val="18"/>
                <w:szCs w:val="18"/>
              </w:rPr>
            </w:pPr>
            <w:r w:rsidRPr="00465A26">
              <w:rPr>
                <w:rFonts w:ascii="Times New Roman" w:hAnsi="Times New Roman"/>
                <w:b/>
                <w:bCs/>
                <w:sz w:val="18"/>
                <w:szCs w:val="18"/>
              </w:rPr>
              <w:t>Condition</w:t>
            </w:r>
          </w:p>
        </w:tc>
        <w:tc>
          <w:tcPr>
            <w:tcW w:w="2268" w:type="dxa"/>
            <w:vAlign w:val="center"/>
          </w:tcPr>
          <w:p w14:paraId="04A228A3" w14:textId="64949973" w:rsidR="00254DF6" w:rsidRPr="00465A26" w:rsidRDefault="00254DF6" w:rsidP="00465A26">
            <w:pPr>
              <w:spacing w:after="0" w:line="240" w:lineRule="auto"/>
              <w:jc w:val="center"/>
              <w:rPr>
                <w:rFonts w:ascii="Times New Roman" w:hAnsi="Times New Roman"/>
                <w:b/>
                <w:bCs/>
                <w:sz w:val="18"/>
                <w:szCs w:val="18"/>
              </w:rPr>
            </w:pPr>
            <w:r w:rsidRPr="00465A26">
              <w:rPr>
                <w:rFonts w:ascii="Times New Roman" w:hAnsi="Times New Roman"/>
                <w:b/>
                <w:bCs/>
                <w:sz w:val="18"/>
                <w:szCs w:val="18"/>
              </w:rPr>
              <w:t>Optimal Order Amount</w:t>
            </w:r>
          </w:p>
          <w:p w14:paraId="5BFDB713" w14:textId="33CFC764" w:rsidR="00254DF6" w:rsidRPr="00465A26" w:rsidRDefault="00254DF6" w:rsidP="00465A26">
            <w:pPr>
              <w:spacing w:line="240" w:lineRule="auto"/>
              <w:jc w:val="center"/>
              <w:rPr>
                <w:rFonts w:ascii="Times New Roman" w:hAnsi="Times New Roman"/>
                <w:b/>
                <w:bCs/>
                <w:sz w:val="18"/>
                <w:szCs w:val="18"/>
              </w:rPr>
            </w:pPr>
            <w:r w:rsidRPr="00465A26">
              <w:rPr>
                <w:rFonts w:ascii="Times New Roman" w:hAnsi="Times New Roman"/>
                <w:b/>
                <w:bCs/>
                <w:sz w:val="18"/>
                <w:szCs w:val="18"/>
              </w:rPr>
              <w:t>(kg)</w:t>
            </w:r>
          </w:p>
        </w:tc>
        <w:tc>
          <w:tcPr>
            <w:tcW w:w="1912" w:type="dxa"/>
            <w:vAlign w:val="center"/>
          </w:tcPr>
          <w:p w14:paraId="2F654725" w14:textId="77777777" w:rsidR="00254DF6" w:rsidRPr="00465A26" w:rsidRDefault="00254DF6" w:rsidP="00465A26">
            <w:pPr>
              <w:spacing w:after="0" w:line="240" w:lineRule="auto"/>
              <w:jc w:val="center"/>
              <w:rPr>
                <w:rFonts w:ascii="Times New Roman" w:hAnsi="Times New Roman"/>
                <w:b/>
                <w:bCs/>
                <w:sz w:val="18"/>
                <w:szCs w:val="18"/>
              </w:rPr>
            </w:pPr>
            <w:r w:rsidRPr="00465A26">
              <w:rPr>
                <w:rFonts w:ascii="Times New Roman" w:hAnsi="Times New Roman"/>
                <w:b/>
                <w:bCs/>
                <w:sz w:val="18"/>
                <w:szCs w:val="18"/>
              </w:rPr>
              <w:t>Order Frequency</w:t>
            </w:r>
          </w:p>
          <w:p w14:paraId="5B6717DA" w14:textId="77777777" w:rsidR="00254DF6" w:rsidRPr="00465A26" w:rsidRDefault="00254DF6" w:rsidP="00465A26">
            <w:pPr>
              <w:spacing w:line="240" w:lineRule="auto"/>
              <w:jc w:val="center"/>
              <w:rPr>
                <w:rFonts w:ascii="Times New Roman" w:hAnsi="Times New Roman"/>
                <w:b/>
                <w:bCs/>
                <w:sz w:val="18"/>
                <w:szCs w:val="18"/>
              </w:rPr>
            </w:pPr>
            <w:r w:rsidRPr="00465A26">
              <w:rPr>
                <w:rFonts w:ascii="Times New Roman" w:hAnsi="Times New Roman"/>
                <w:b/>
                <w:bCs/>
                <w:sz w:val="18"/>
                <w:szCs w:val="18"/>
              </w:rPr>
              <w:t>(Times)</w:t>
            </w:r>
          </w:p>
        </w:tc>
      </w:tr>
      <w:tr w:rsidR="00254DF6" w:rsidRPr="00465A26" w14:paraId="2A0F542A" w14:textId="77777777" w:rsidTr="00465A26">
        <w:trPr>
          <w:trHeight w:val="20"/>
          <w:jc w:val="center"/>
        </w:trPr>
        <w:tc>
          <w:tcPr>
            <w:tcW w:w="2268" w:type="dxa"/>
            <w:vAlign w:val="center"/>
          </w:tcPr>
          <w:p w14:paraId="488BC50C" w14:textId="77777777" w:rsidR="00254DF6" w:rsidRPr="00465A26" w:rsidRDefault="00254DF6" w:rsidP="00465A26">
            <w:pPr>
              <w:spacing w:line="240" w:lineRule="auto"/>
              <w:jc w:val="center"/>
              <w:rPr>
                <w:rFonts w:ascii="Times New Roman" w:hAnsi="Times New Roman"/>
                <w:sz w:val="18"/>
                <w:szCs w:val="18"/>
              </w:rPr>
            </w:pPr>
            <w:r w:rsidRPr="00465A26">
              <w:rPr>
                <w:rFonts w:ascii="Times New Roman" w:hAnsi="Times New Roman"/>
                <w:sz w:val="18"/>
                <w:szCs w:val="18"/>
              </w:rPr>
              <w:t>After implementation EOQ</w:t>
            </w:r>
          </w:p>
        </w:tc>
        <w:tc>
          <w:tcPr>
            <w:tcW w:w="2268" w:type="dxa"/>
            <w:vAlign w:val="center"/>
          </w:tcPr>
          <w:p w14:paraId="35134AE8" w14:textId="77777777" w:rsidR="00254DF6" w:rsidRPr="00465A26" w:rsidRDefault="00254DF6" w:rsidP="00465A26">
            <w:pPr>
              <w:spacing w:line="240" w:lineRule="auto"/>
              <w:jc w:val="center"/>
              <w:rPr>
                <w:rFonts w:ascii="Times New Roman" w:hAnsi="Times New Roman"/>
                <w:sz w:val="18"/>
                <w:szCs w:val="18"/>
              </w:rPr>
            </w:pPr>
            <w:r w:rsidRPr="00465A26">
              <w:rPr>
                <w:rFonts w:ascii="Times New Roman" w:hAnsi="Times New Roman"/>
                <w:sz w:val="18"/>
                <w:szCs w:val="18"/>
              </w:rPr>
              <w:t>69</w:t>
            </w:r>
          </w:p>
        </w:tc>
        <w:tc>
          <w:tcPr>
            <w:tcW w:w="1912" w:type="dxa"/>
            <w:vAlign w:val="center"/>
          </w:tcPr>
          <w:p w14:paraId="402D6F30" w14:textId="77777777" w:rsidR="00254DF6" w:rsidRPr="00465A26" w:rsidRDefault="00254DF6" w:rsidP="00465A26">
            <w:pPr>
              <w:spacing w:line="240" w:lineRule="auto"/>
              <w:jc w:val="center"/>
              <w:rPr>
                <w:rFonts w:ascii="Times New Roman" w:hAnsi="Times New Roman"/>
                <w:sz w:val="18"/>
                <w:szCs w:val="18"/>
              </w:rPr>
            </w:pPr>
            <w:r w:rsidRPr="00465A26">
              <w:rPr>
                <w:rFonts w:ascii="Times New Roman" w:hAnsi="Times New Roman"/>
                <w:sz w:val="18"/>
                <w:szCs w:val="18"/>
              </w:rPr>
              <w:t>80</w:t>
            </w:r>
          </w:p>
        </w:tc>
      </w:tr>
      <w:tr w:rsidR="00254DF6" w:rsidRPr="00465A26" w14:paraId="3B5D44D9" w14:textId="77777777" w:rsidTr="00465A26">
        <w:trPr>
          <w:trHeight w:val="20"/>
          <w:jc w:val="center"/>
        </w:trPr>
        <w:tc>
          <w:tcPr>
            <w:tcW w:w="2268" w:type="dxa"/>
            <w:vAlign w:val="center"/>
          </w:tcPr>
          <w:p w14:paraId="291C8CED" w14:textId="77777777" w:rsidR="00254DF6" w:rsidRPr="00465A26" w:rsidRDefault="00254DF6" w:rsidP="00465A26">
            <w:pPr>
              <w:spacing w:line="240" w:lineRule="auto"/>
              <w:jc w:val="center"/>
              <w:rPr>
                <w:rFonts w:ascii="Times New Roman" w:hAnsi="Times New Roman"/>
                <w:sz w:val="18"/>
                <w:szCs w:val="18"/>
              </w:rPr>
            </w:pPr>
            <w:r w:rsidRPr="00465A26">
              <w:rPr>
                <w:rFonts w:ascii="Times New Roman" w:hAnsi="Times New Roman"/>
                <w:sz w:val="18"/>
                <w:szCs w:val="18"/>
              </w:rPr>
              <w:t>Before implementation EOQ</w:t>
            </w:r>
          </w:p>
        </w:tc>
        <w:tc>
          <w:tcPr>
            <w:tcW w:w="2268" w:type="dxa"/>
            <w:vAlign w:val="center"/>
          </w:tcPr>
          <w:p w14:paraId="47572661" w14:textId="77777777" w:rsidR="00254DF6" w:rsidRPr="00465A26" w:rsidRDefault="00254DF6" w:rsidP="00465A26">
            <w:pPr>
              <w:spacing w:line="240" w:lineRule="auto"/>
              <w:jc w:val="center"/>
              <w:rPr>
                <w:rFonts w:ascii="Times New Roman" w:hAnsi="Times New Roman"/>
                <w:sz w:val="18"/>
                <w:szCs w:val="18"/>
              </w:rPr>
            </w:pPr>
            <w:r w:rsidRPr="00465A26">
              <w:rPr>
                <w:rFonts w:ascii="Times New Roman" w:hAnsi="Times New Roman"/>
                <w:sz w:val="18"/>
                <w:szCs w:val="18"/>
              </w:rPr>
              <w:t>39</w:t>
            </w:r>
          </w:p>
        </w:tc>
        <w:tc>
          <w:tcPr>
            <w:tcW w:w="1912" w:type="dxa"/>
            <w:vAlign w:val="center"/>
          </w:tcPr>
          <w:p w14:paraId="75683F9C" w14:textId="77777777" w:rsidR="00254DF6" w:rsidRPr="00465A26" w:rsidRDefault="00254DF6" w:rsidP="00465A26">
            <w:pPr>
              <w:spacing w:line="240" w:lineRule="auto"/>
              <w:jc w:val="center"/>
              <w:rPr>
                <w:rFonts w:ascii="Times New Roman" w:hAnsi="Times New Roman"/>
                <w:sz w:val="18"/>
                <w:szCs w:val="18"/>
              </w:rPr>
            </w:pPr>
            <w:r w:rsidRPr="00465A26">
              <w:rPr>
                <w:rFonts w:ascii="Times New Roman" w:hAnsi="Times New Roman"/>
                <w:sz w:val="18"/>
                <w:szCs w:val="18"/>
              </w:rPr>
              <w:t>141</w:t>
            </w:r>
          </w:p>
        </w:tc>
      </w:tr>
    </w:tbl>
    <w:p w14:paraId="7CE126A6" w14:textId="77777777" w:rsidR="00465A26" w:rsidRDefault="00465A26" w:rsidP="00465A26">
      <w:pPr>
        <w:pStyle w:val="BodyText"/>
        <w:ind w:firstLine="0"/>
        <w:rPr>
          <w:b/>
          <w:bCs/>
          <w:sz w:val="20"/>
          <w:szCs w:val="18"/>
        </w:rPr>
      </w:pPr>
    </w:p>
    <w:p w14:paraId="0427185F" w14:textId="391F3280" w:rsidR="00254DF6" w:rsidRPr="003D7A01" w:rsidRDefault="00254DF6" w:rsidP="00465A26">
      <w:pPr>
        <w:pStyle w:val="BodyText"/>
        <w:ind w:firstLine="0"/>
        <w:rPr>
          <w:b/>
          <w:bCs/>
          <w:sz w:val="20"/>
          <w:szCs w:val="18"/>
        </w:rPr>
      </w:pPr>
      <w:r w:rsidRPr="003D7A01">
        <w:rPr>
          <w:b/>
          <w:bCs/>
          <w:sz w:val="20"/>
          <w:szCs w:val="18"/>
        </w:rPr>
        <w:t>3.6 Determination of The Amount of Inventory to Prevent Uncertainty</w:t>
      </w:r>
    </w:p>
    <w:p w14:paraId="6ADE9853" w14:textId="77777777" w:rsidR="00254DF6" w:rsidRPr="003D7A01" w:rsidRDefault="00254DF6" w:rsidP="00465A26">
      <w:pPr>
        <w:pStyle w:val="BodyText"/>
        <w:spacing w:after="0" w:line="276" w:lineRule="auto"/>
        <w:ind w:firstLine="567"/>
        <w:rPr>
          <w:sz w:val="20"/>
        </w:rPr>
      </w:pPr>
      <w:r w:rsidRPr="003D7A01">
        <w:rPr>
          <w:sz w:val="20"/>
        </w:rPr>
        <w:t xml:space="preserve">The calculation of the inventory level required to anticipate demand fluctuations is presented in Table 5. The safety stock (SS) is calculated at 24 kg per day, which represents the minimum buffer inventory that must be maintained to prevent stockouts during demand fluctuations or supply delays. This buffer ensures continuity in production despite variability in usage. The reorder point (ROP) is determined to be 40 kg. This indicates that a new order should be placed when the inventory level reaches 40 kg. At this level, the remaining stock is sufficient to cover demand during the lead time, while also maintaining the safety stock level. </w:t>
      </w:r>
    </w:p>
    <w:p w14:paraId="7886A19C" w14:textId="77777777" w:rsidR="00254DF6" w:rsidRPr="00465A26" w:rsidRDefault="00254DF6" w:rsidP="0003786E">
      <w:pPr>
        <w:pStyle w:val="tablehead"/>
        <w:numPr>
          <w:ilvl w:val="0"/>
          <w:numId w:val="0"/>
        </w:numPr>
        <w:spacing w:before="120"/>
        <w:ind w:left="357"/>
        <w:rPr>
          <w:rFonts w:ascii="Times New Roman" w:eastAsia="MS Mincho" w:hAnsi="Times New Roman"/>
          <w:spacing w:val="-1"/>
        </w:rPr>
      </w:pPr>
      <w:r w:rsidRPr="00465A26">
        <w:rPr>
          <w:rFonts w:ascii="Times New Roman" w:hAnsi="Times New Roman"/>
          <w:b/>
          <w:bCs/>
        </w:rPr>
        <w:t xml:space="preserve">Table 5. </w:t>
      </w:r>
      <w:r w:rsidRPr="00465A26">
        <w:rPr>
          <w:rFonts w:ascii="Times New Roman" w:hAnsi="Times New Roman"/>
        </w:rPr>
        <w:t>The Amount of Inventory to Prevent Uncertainty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6"/>
        <w:gridCol w:w="2004"/>
        <w:gridCol w:w="1729"/>
      </w:tblGrid>
      <w:tr w:rsidR="00254DF6" w:rsidRPr="00465A26" w14:paraId="11E760E1" w14:textId="77777777" w:rsidTr="00E21C70">
        <w:trPr>
          <w:trHeight w:val="358"/>
          <w:jc w:val="center"/>
        </w:trPr>
        <w:tc>
          <w:tcPr>
            <w:tcW w:w="1916" w:type="dxa"/>
            <w:vAlign w:val="center"/>
          </w:tcPr>
          <w:p w14:paraId="5FF2C871" w14:textId="77777777" w:rsidR="00254DF6" w:rsidRPr="00465A26" w:rsidRDefault="00254DF6" w:rsidP="00E21C70">
            <w:pPr>
              <w:jc w:val="center"/>
              <w:rPr>
                <w:rFonts w:ascii="Times New Roman" w:hAnsi="Times New Roman"/>
                <w:b/>
                <w:bCs/>
                <w:sz w:val="18"/>
                <w:szCs w:val="18"/>
              </w:rPr>
            </w:pPr>
            <w:r w:rsidRPr="00465A26">
              <w:rPr>
                <w:rFonts w:ascii="Times New Roman" w:hAnsi="Times New Roman"/>
                <w:b/>
                <w:bCs/>
                <w:sz w:val="18"/>
                <w:szCs w:val="18"/>
              </w:rPr>
              <w:t>Component</w:t>
            </w:r>
          </w:p>
        </w:tc>
        <w:tc>
          <w:tcPr>
            <w:tcW w:w="2004" w:type="dxa"/>
            <w:vAlign w:val="center"/>
          </w:tcPr>
          <w:p w14:paraId="0000911D" w14:textId="77777777" w:rsidR="00254DF6" w:rsidRPr="00465A26" w:rsidRDefault="00254DF6" w:rsidP="00E21C70">
            <w:pPr>
              <w:jc w:val="center"/>
              <w:rPr>
                <w:rFonts w:ascii="Times New Roman" w:hAnsi="Times New Roman"/>
                <w:b/>
                <w:bCs/>
                <w:sz w:val="18"/>
                <w:szCs w:val="18"/>
              </w:rPr>
            </w:pPr>
            <w:r w:rsidRPr="00465A26">
              <w:rPr>
                <w:rFonts w:ascii="Times New Roman" w:hAnsi="Times New Roman"/>
                <w:b/>
                <w:bCs/>
                <w:sz w:val="18"/>
                <w:szCs w:val="18"/>
              </w:rPr>
              <w:t xml:space="preserve">Total Inventory/ Day </w:t>
            </w:r>
          </w:p>
        </w:tc>
        <w:tc>
          <w:tcPr>
            <w:tcW w:w="1729" w:type="dxa"/>
          </w:tcPr>
          <w:p w14:paraId="30CBB4E4" w14:textId="77777777" w:rsidR="00254DF6" w:rsidRPr="00465A26" w:rsidRDefault="00254DF6" w:rsidP="00E21C70">
            <w:pPr>
              <w:jc w:val="center"/>
              <w:rPr>
                <w:rFonts w:ascii="Times New Roman" w:hAnsi="Times New Roman"/>
                <w:b/>
                <w:bCs/>
                <w:sz w:val="18"/>
                <w:szCs w:val="18"/>
              </w:rPr>
            </w:pPr>
            <w:r w:rsidRPr="00465A26">
              <w:rPr>
                <w:rFonts w:ascii="Times New Roman" w:hAnsi="Times New Roman"/>
                <w:b/>
                <w:bCs/>
                <w:sz w:val="18"/>
                <w:szCs w:val="18"/>
              </w:rPr>
              <w:t>Unit</w:t>
            </w:r>
          </w:p>
        </w:tc>
      </w:tr>
      <w:tr w:rsidR="00254DF6" w:rsidRPr="00465A26" w14:paraId="79C2961B" w14:textId="77777777" w:rsidTr="00E21C70">
        <w:trPr>
          <w:trHeight w:val="340"/>
          <w:jc w:val="center"/>
        </w:trPr>
        <w:tc>
          <w:tcPr>
            <w:tcW w:w="1916" w:type="dxa"/>
            <w:vAlign w:val="center"/>
          </w:tcPr>
          <w:p w14:paraId="747C5507" w14:textId="77777777" w:rsidR="00254DF6" w:rsidRPr="00465A26" w:rsidRDefault="00254DF6" w:rsidP="00E21C70">
            <w:pPr>
              <w:jc w:val="center"/>
              <w:rPr>
                <w:rFonts w:ascii="Times New Roman" w:hAnsi="Times New Roman"/>
                <w:i/>
                <w:sz w:val="18"/>
                <w:szCs w:val="18"/>
              </w:rPr>
            </w:pPr>
            <w:r w:rsidRPr="00465A26">
              <w:rPr>
                <w:rFonts w:ascii="Times New Roman" w:hAnsi="Times New Roman"/>
                <w:i/>
                <w:sz w:val="18"/>
                <w:szCs w:val="18"/>
              </w:rPr>
              <w:t xml:space="preserve">Safety Stock </w:t>
            </w:r>
            <w:r w:rsidRPr="00465A26">
              <w:rPr>
                <w:rFonts w:ascii="Times New Roman" w:hAnsi="Times New Roman"/>
                <w:sz w:val="18"/>
                <w:szCs w:val="18"/>
              </w:rPr>
              <w:t>(SS)</w:t>
            </w:r>
          </w:p>
        </w:tc>
        <w:tc>
          <w:tcPr>
            <w:tcW w:w="2004" w:type="dxa"/>
            <w:vAlign w:val="center"/>
          </w:tcPr>
          <w:p w14:paraId="60D6DDB5" w14:textId="77777777" w:rsidR="00254DF6" w:rsidRPr="00465A26" w:rsidRDefault="00254DF6" w:rsidP="00E21C70">
            <w:pPr>
              <w:jc w:val="center"/>
              <w:rPr>
                <w:rFonts w:ascii="Times New Roman" w:hAnsi="Times New Roman"/>
                <w:sz w:val="18"/>
                <w:szCs w:val="18"/>
              </w:rPr>
            </w:pPr>
            <w:r w:rsidRPr="00465A26">
              <w:rPr>
                <w:rFonts w:ascii="Times New Roman" w:hAnsi="Times New Roman"/>
                <w:sz w:val="18"/>
                <w:szCs w:val="18"/>
              </w:rPr>
              <w:t>24</w:t>
            </w:r>
          </w:p>
        </w:tc>
        <w:tc>
          <w:tcPr>
            <w:tcW w:w="1729" w:type="dxa"/>
          </w:tcPr>
          <w:p w14:paraId="2E0465D0" w14:textId="77777777" w:rsidR="00254DF6" w:rsidRPr="00465A26" w:rsidRDefault="00254DF6" w:rsidP="00E21C70">
            <w:pPr>
              <w:jc w:val="center"/>
              <w:rPr>
                <w:rFonts w:ascii="Times New Roman" w:hAnsi="Times New Roman"/>
                <w:sz w:val="18"/>
                <w:szCs w:val="18"/>
              </w:rPr>
            </w:pPr>
            <w:r w:rsidRPr="00465A26">
              <w:rPr>
                <w:rFonts w:ascii="Times New Roman" w:hAnsi="Times New Roman"/>
                <w:sz w:val="18"/>
                <w:szCs w:val="18"/>
              </w:rPr>
              <w:t>Kg</w:t>
            </w:r>
          </w:p>
        </w:tc>
      </w:tr>
      <w:tr w:rsidR="00254DF6" w:rsidRPr="00465A26" w14:paraId="4D8A7BA4" w14:textId="77777777" w:rsidTr="00E21C70">
        <w:trPr>
          <w:trHeight w:val="60"/>
          <w:jc w:val="center"/>
        </w:trPr>
        <w:tc>
          <w:tcPr>
            <w:tcW w:w="1916" w:type="dxa"/>
            <w:vAlign w:val="center"/>
          </w:tcPr>
          <w:p w14:paraId="390576D4" w14:textId="77777777" w:rsidR="00254DF6" w:rsidRPr="00465A26" w:rsidRDefault="00254DF6" w:rsidP="00E21C70">
            <w:pPr>
              <w:jc w:val="center"/>
              <w:rPr>
                <w:rFonts w:ascii="Times New Roman" w:hAnsi="Times New Roman"/>
                <w:i/>
                <w:sz w:val="18"/>
                <w:szCs w:val="18"/>
              </w:rPr>
            </w:pPr>
            <w:r w:rsidRPr="00465A26">
              <w:rPr>
                <w:rFonts w:ascii="Times New Roman" w:hAnsi="Times New Roman"/>
                <w:i/>
                <w:sz w:val="18"/>
                <w:szCs w:val="18"/>
              </w:rPr>
              <w:t xml:space="preserve">Reorder Point </w:t>
            </w:r>
            <w:r w:rsidRPr="00465A26">
              <w:rPr>
                <w:rFonts w:ascii="Times New Roman" w:hAnsi="Times New Roman"/>
                <w:sz w:val="18"/>
                <w:szCs w:val="18"/>
              </w:rPr>
              <w:t>(ROP)</w:t>
            </w:r>
          </w:p>
        </w:tc>
        <w:tc>
          <w:tcPr>
            <w:tcW w:w="2004" w:type="dxa"/>
            <w:vAlign w:val="center"/>
          </w:tcPr>
          <w:p w14:paraId="21AC87F2" w14:textId="77777777" w:rsidR="00254DF6" w:rsidRPr="00465A26" w:rsidRDefault="00254DF6" w:rsidP="00E21C70">
            <w:pPr>
              <w:jc w:val="center"/>
              <w:rPr>
                <w:rFonts w:ascii="Times New Roman" w:hAnsi="Times New Roman"/>
                <w:sz w:val="18"/>
                <w:szCs w:val="18"/>
              </w:rPr>
            </w:pPr>
            <w:r w:rsidRPr="00465A26">
              <w:rPr>
                <w:rFonts w:ascii="Times New Roman" w:hAnsi="Times New Roman"/>
                <w:sz w:val="18"/>
                <w:szCs w:val="18"/>
              </w:rPr>
              <w:t>40</w:t>
            </w:r>
          </w:p>
        </w:tc>
        <w:tc>
          <w:tcPr>
            <w:tcW w:w="1729" w:type="dxa"/>
          </w:tcPr>
          <w:p w14:paraId="72E81C16" w14:textId="77777777" w:rsidR="00254DF6" w:rsidRPr="00465A26" w:rsidRDefault="00254DF6" w:rsidP="00E21C70">
            <w:pPr>
              <w:jc w:val="center"/>
              <w:rPr>
                <w:rFonts w:ascii="Times New Roman" w:hAnsi="Times New Roman"/>
                <w:sz w:val="18"/>
                <w:szCs w:val="18"/>
              </w:rPr>
            </w:pPr>
            <w:r w:rsidRPr="00465A26">
              <w:rPr>
                <w:rFonts w:ascii="Times New Roman" w:hAnsi="Times New Roman"/>
                <w:sz w:val="18"/>
                <w:szCs w:val="18"/>
              </w:rPr>
              <w:t>Kg</w:t>
            </w:r>
          </w:p>
        </w:tc>
      </w:tr>
    </w:tbl>
    <w:p w14:paraId="54B621F6" w14:textId="77777777" w:rsidR="00254DF6" w:rsidRPr="003D7A01" w:rsidRDefault="00254DF6" w:rsidP="00465A26">
      <w:pPr>
        <w:pStyle w:val="BodyText"/>
        <w:spacing w:after="0"/>
        <w:ind w:firstLine="0"/>
        <w:rPr>
          <w:b/>
          <w:bCs/>
          <w:sz w:val="20"/>
          <w:szCs w:val="18"/>
        </w:rPr>
      </w:pPr>
    </w:p>
    <w:p w14:paraId="6A41BCF8" w14:textId="77777777" w:rsidR="00254DF6" w:rsidRPr="003D7A01" w:rsidRDefault="00254DF6" w:rsidP="00465A26">
      <w:pPr>
        <w:pStyle w:val="BodyText"/>
        <w:ind w:firstLine="0"/>
        <w:rPr>
          <w:b/>
          <w:bCs/>
          <w:sz w:val="20"/>
          <w:szCs w:val="18"/>
        </w:rPr>
      </w:pPr>
      <w:r w:rsidRPr="003D7A01">
        <w:rPr>
          <w:b/>
          <w:bCs/>
          <w:sz w:val="20"/>
          <w:szCs w:val="18"/>
        </w:rPr>
        <w:t>3.7 Comparison of Existing TIC and Optimization</w:t>
      </w:r>
    </w:p>
    <w:p w14:paraId="76FB77CB" w14:textId="77777777" w:rsidR="00254DF6" w:rsidRPr="003D7A01" w:rsidRDefault="00254DF6" w:rsidP="00465A26">
      <w:pPr>
        <w:pStyle w:val="BodyText"/>
        <w:spacing w:after="0" w:line="276" w:lineRule="auto"/>
        <w:ind w:firstLine="567"/>
        <w:rPr>
          <w:rFonts w:eastAsia="Times New Roman"/>
          <w:sz w:val="20"/>
        </w:rPr>
      </w:pPr>
      <w:r w:rsidRPr="00465A26">
        <w:rPr>
          <w:sz w:val="20"/>
        </w:rPr>
        <w:t>The</w:t>
      </w:r>
      <w:r w:rsidRPr="003D7A01">
        <w:rPr>
          <w:rFonts w:eastAsia="Times New Roman"/>
          <w:sz w:val="20"/>
        </w:rPr>
        <w:t xml:space="preserve"> raw material ordering system at Tempe Galang was previously carried out manually by relying on estimated requirements based on historical usage. This mechanism often led to inaccuracies in procurement, resulting in both overstock and stockouts, as well as high total inventory costs. One case occurred in June 2024, when the SME purchased 1 ton (1,000 kg) of soybeans at a price of IDR 9,500/kg in anticipation of a price increase. However, this decision had a negative impact in the form of excess inventory accumulation. In response, the SME then shifted to a daily purchasing pattern. Nevertheless, this new strategy also created another issue, namely stockouts due to delays in delivery from suppliers. </w:t>
      </w:r>
    </w:p>
    <w:p w14:paraId="282F90B2" w14:textId="50B43B0C" w:rsidR="00254DF6" w:rsidRPr="003D7A01" w:rsidRDefault="004A7DF6" w:rsidP="00465A26">
      <w:pPr>
        <w:pStyle w:val="BodyText"/>
        <w:spacing w:after="0" w:line="276" w:lineRule="auto"/>
        <w:ind w:firstLine="567"/>
        <w:rPr>
          <w:rFonts w:eastAsia="Times New Roman"/>
          <w:sz w:val="20"/>
        </w:rPr>
      </w:pPr>
      <w:r w:rsidRPr="003D7A01">
        <w:rPr>
          <w:rFonts w:eastAsia="Times New Roman"/>
          <w:sz w:val="20"/>
        </w:rPr>
        <w:t xml:space="preserve">The research uses two schemes of scenario. First, </w:t>
      </w:r>
      <w:r w:rsidR="00254DF6" w:rsidRPr="003D7A01">
        <w:rPr>
          <w:rFonts w:eastAsia="Times New Roman"/>
          <w:sz w:val="20"/>
        </w:rPr>
        <w:t>the SME did not utilize the quantity discount scheme offered by the supplier</w:t>
      </w:r>
      <w:r w:rsidRPr="003D7A01">
        <w:rPr>
          <w:rFonts w:eastAsia="Times New Roman"/>
          <w:sz w:val="20"/>
        </w:rPr>
        <w:t xml:space="preserve"> during one period of raw material ordering</w:t>
      </w:r>
      <w:r w:rsidR="00254DF6" w:rsidRPr="003D7A01">
        <w:rPr>
          <w:rFonts w:eastAsia="Times New Roman"/>
          <w:sz w:val="20"/>
        </w:rPr>
        <w:t>.</w:t>
      </w:r>
      <w:r w:rsidRPr="003D7A01">
        <w:rPr>
          <w:rFonts w:eastAsia="Times New Roman"/>
          <w:sz w:val="20"/>
        </w:rPr>
        <w:t xml:space="preserve"> Second, t</w:t>
      </w:r>
      <w:r w:rsidR="00254DF6" w:rsidRPr="003D7A01">
        <w:rPr>
          <w:rFonts w:eastAsia="Times New Roman"/>
          <w:sz w:val="20"/>
        </w:rPr>
        <w:t>he supplier provided two pricing options: IDR 10,500/kg for purchases below 50 kg, and a discount of IDR 1,000/kg for purchases of at least 50 kg, with a maximum discount limit of IDR 20,000 per quintal. This quantity discount scheme has been in effect since early 2025. The comparison of total inventory cost (TIC) under existing conditions and after optimization is presented in Table 6.</w:t>
      </w:r>
    </w:p>
    <w:p w14:paraId="43CED082" w14:textId="77777777" w:rsidR="00254DF6" w:rsidRPr="00465A26" w:rsidRDefault="00254DF6" w:rsidP="0003786E">
      <w:pPr>
        <w:pStyle w:val="tablehead"/>
        <w:numPr>
          <w:ilvl w:val="0"/>
          <w:numId w:val="0"/>
        </w:numPr>
        <w:spacing w:before="120"/>
        <w:ind w:left="357"/>
        <w:rPr>
          <w:rFonts w:ascii="Times New Roman" w:hAnsi="Times New Roman"/>
        </w:rPr>
      </w:pPr>
      <w:r w:rsidRPr="00465A26">
        <w:rPr>
          <w:rFonts w:ascii="Times New Roman" w:hAnsi="Times New Roman"/>
          <w:b/>
          <w:bCs/>
        </w:rPr>
        <w:t xml:space="preserve">Table 6. </w:t>
      </w:r>
      <w:r w:rsidRPr="00465A26">
        <w:rPr>
          <w:rFonts w:ascii="Times New Roman" w:hAnsi="Times New Roman"/>
        </w:rPr>
        <w:t>Optimal Order Quantity of Raw Material</w:t>
      </w:r>
    </w:p>
    <w:tbl>
      <w:tblPr>
        <w:tblW w:w="7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6"/>
        <w:gridCol w:w="797"/>
        <w:gridCol w:w="875"/>
        <w:gridCol w:w="1071"/>
        <w:gridCol w:w="982"/>
        <w:gridCol w:w="1210"/>
        <w:gridCol w:w="1539"/>
      </w:tblGrid>
      <w:tr w:rsidR="00254DF6" w:rsidRPr="00465A26" w14:paraId="01D37980" w14:textId="77777777" w:rsidTr="00E21C70">
        <w:trPr>
          <w:trHeight w:val="407"/>
          <w:tblHeader/>
          <w:jc w:val="center"/>
        </w:trPr>
        <w:tc>
          <w:tcPr>
            <w:tcW w:w="1146" w:type="dxa"/>
          </w:tcPr>
          <w:p w14:paraId="7021EEE1"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Component</w:t>
            </w:r>
          </w:p>
        </w:tc>
        <w:tc>
          <w:tcPr>
            <w:tcW w:w="797" w:type="dxa"/>
            <w:vAlign w:val="center"/>
          </w:tcPr>
          <w:p w14:paraId="60D61DE7" w14:textId="77777777" w:rsidR="00254DF6" w:rsidRPr="00465A26" w:rsidRDefault="00254DF6" w:rsidP="00E21C70">
            <w:pPr>
              <w:pStyle w:val="Body"/>
              <w:ind w:firstLine="0"/>
              <w:jc w:val="center"/>
              <w:rPr>
                <w:rFonts w:cs="Calibri"/>
                <w:b/>
                <w:bCs/>
                <w:color w:val="000000"/>
                <w:sz w:val="18"/>
                <w:szCs w:val="18"/>
                <w:vertAlign w:val="subscript"/>
              </w:rPr>
            </w:pPr>
            <w:proofErr w:type="spellStart"/>
            <w:r w:rsidRPr="00465A26">
              <w:rPr>
                <w:rFonts w:cs="Calibri"/>
                <w:b/>
                <w:bCs/>
                <w:color w:val="000000"/>
                <w:sz w:val="18"/>
                <w:szCs w:val="18"/>
              </w:rPr>
              <w:t>Q</w:t>
            </w:r>
            <w:r w:rsidRPr="00465A26">
              <w:rPr>
                <w:rFonts w:cs="Calibri"/>
                <w:b/>
                <w:bCs/>
                <w:color w:val="000000"/>
                <w:sz w:val="18"/>
                <w:szCs w:val="18"/>
                <w:vertAlign w:val="subscript"/>
              </w:rPr>
              <w:t>opt</w:t>
            </w:r>
            <w:proofErr w:type="spellEnd"/>
            <w:r w:rsidRPr="00465A26">
              <w:rPr>
                <w:rFonts w:cs="Calibri"/>
                <w:b/>
                <w:bCs/>
                <w:color w:val="000000"/>
                <w:sz w:val="18"/>
                <w:szCs w:val="18"/>
                <w:vertAlign w:val="subscript"/>
              </w:rPr>
              <w:t xml:space="preserve"> </w:t>
            </w:r>
          </w:p>
          <w:p w14:paraId="114623FA"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(kg)</w:t>
            </w:r>
          </w:p>
        </w:tc>
        <w:tc>
          <w:tcPr>
            <w:tcW w:w="875" w:type="dxa"/>
            <w:vAlign w:val="center"/>
          </w:tcPr>
          <w:p w14:paraId="4ADEE75D"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FP (Times)</w:t>
            </w:r>
          </w:p>
        </w:tc>
        <w:tc>
          <w:tcPr>
            <w:tcW w:w="1071" w:type="dxa"/>
            <w:vAlign w:val="center"/>
          </w:tcPr>
          <w:p w14:paraId="645EC7CE"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 xml:space="preserve">BP </w:t>
            </w:r>
          </w:p>
          <w:p w14:paraId="23240EB1"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(IDR)</w:t>
            </w:r>
          </w:p>
        </w:tc>
        <w:tc>
          <w:tcPr>
            <w:tcW w:w="982" w:type="dxa"/>
            <w:vAlign w:val="center"/>
          </w:tcPr>
          <w:p w14:paraId="39546282"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 xml:space="preserve">BS </w:t>
            </w:r>
          </w:p>
          <w:p w14:paraId="7553F6A1"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(IDR)</w:t>
            </w:r>
          </w:p>
        </w:tc>
        <w:tc>
          <w:tcPr>
            <w:tcW w:w="1210" w:type="dxa"/>
            <w:vAlign w:val="center"/>
          </w:tcPr>
          <w:p w14:paraId="312983C9"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 xml:space="preserve">RM </w:t>
            </w:r>
          </w:p>
          <w:p w14:paraId="20B19541"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(IDR)</w:t>
            </w:r>
          </w:p>
        </w:tc>
        <w:tc>
          <w:tcPr>
            <w:tcW w:w="1539" w:type="dxa"/>
            <w:vAlign w:val="center"/>
          </w:tcPr>
          <w:p w14:paraId="57B7B348"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TIC</w:t>
            </w:r>
          </w:p>
          <w:p w14:paraId="3D65B4BD" w14:textId="77777777" w:rsidR="00254DF6" w:rsidRPr="00465A26" w:rsidRDefault="00254DF6" w:rsidP="00E21C70">
            <w:pPr>
              <w:pStyle w:val="Body"/>
              <w:ind w:firstLine="0"/>
              <w:jc w:val="center"/>
              <w:rPr>
                <w:rFonts w:cs="Calibri"/>
                <w:b/>
                <w:bCs/>
                <w:color w:val="000000"/>
                <w:sz w:val="18"/>
                <w:szCs w:val="18"/>
              </w:rPr>
            </w:pPr>
            <w:r w:rsidRPr="00465A26">
              <w:rPr>
                <w:rFonts w:cs="Calibri"/>
                <w:b/>
                <w:bCs/>
                <w:color w:val="000000"/>
                <w:sz w:val="18"/>
                <w:szCs w:val="18"/>
              </w:rPr>
              <w:t>(IDR)</w:t>
            </w:r>
          </w:p>
        </w:tc>
      </w:tr>
      <w:tr w:rsidR="00254DF6" w:rsidRPr="00465A26" w14:paraId="6DBF4D44" w14:textId="77777777" w:rsidTr="00E21C70">
        <w:trPr>
          <w:trHeight w:val="407"/>
          <w:jc w:val="center"/>
        </w:trPr>
        <w:tc>
          <w:tcPr>
            <w:tcW w:w="1146" w:type="dxa"/>
          </w:tcPr>
          <w:p w14:paraId="28E8D7E0" w14:textId="77777777" w:rsidR="00254DF6" w:rsidRPr="00465A26" w:rsidRDefault="00254DF6" w:rsidP="00E21C70">
            <w:pPr>
              <w:pStyle w:val="Body"/>
              <w:ind w:firstLine="0"/>
              <w:rPr>
                <w:rFonts w:cs="Calibri"/>
                <w:color w:val="000000"/>
                <w:sz w:val="18"/>
                <w:szCs w:val="18"/>
              </w:rPr>
            </w:pPr>
            <w:r w:rsidRPr="00465A26">
              <w:rPr>
                <w:rFonts w:cs="Calibri"/>
                <w:color w:val="000000"/>
                <w:sz w:val="18"/>
                <w:szCs w:val="18"/>
              </w:rPr>
              <w:t>Optimization</w:t>
            </w:r>
          </w:p>
        </w:tc>
        <w:tc>
          <w:tcPr>
            <w:tcW w:w="797" w:type="dxa"/>
            <w:vAlign w:val="center"/>
          </w:tcPr>
          <w:p w14:paraId="07AE84F2"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69</w:t>
            </w:r>
          </w:p>
        </w:tc>
        <w:tc>
          <w:tcPr>
            <w:tcW w:w="875" w:type="dxa"/>
            <w:vAlign w:val="center"/>
          </w:tcPr>
          <w:p w14:paraId="4D2EF6DA"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80</w:t>
            </w:r>
          </w:p>
        </w:tc>
        <w:tc>
          <w:tcPr>
            <w:tcW w:w="1071" w:type="dxa"/>
            <w:vAlign w:val="center"/>
          </w:tcPr>
          <w:p w14:paraId="1DC0F937"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5.929</w:t>
            </w:r>
          </w:p>
        </w:tc>
        <w:tc>
          <w:tcPr>
            <w:tcW w:w="982" w:type="dxa"/>
            <w:vAlign w:val="center"/>
          </w:tcPr>
          <w:p w14:paraId="0F257BAA"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171</w:t>
            </w:r>
          </w:p>
        </w:tc>
        <w:tc>
          <w:tcPr>
            <w:tcW w:w="1210" w:type="dxa"/>
            <w:vAlign w:val="center"/>
          </w:tcPr>
          <w:p w14:paraId="2C05E394"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55.930</w:t>
            </w:r>
          </w:p>
        </w:tc>
        <w:tc>
          <w:tcPr>
            <w:tcW w:w="1539" w:type="dxa"/>
            <w:vAlign w:val="center"/>
          </w:tcPr>
          <w:p w14:paraId="78F86ECB"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62.030</w:t>
            </w:r>
          </w:p>
        </w:tc>
      </w:tr>
      <w:tr w:rsidR="00254DF6" w:rsidRPr="00465A26" w14:paraId="6DD06353" w14:textId="77777777" w:rsidTr="00E21C70">
        <w:trPr>
          <w:trHeight w:val="407"/>
          <w:jc w:val="center"/>
        </w:trPr>
        <w:tc>
          <w:tcPr>
            <w:tcW w:w="1146" w:type="dxa"/>
          </w:tcPr>
          <w:p w14:paraId="5F041CB7" w14:textId="77777777" w:rsidR="00254DF6" w:rsidRPr="00465A26" w:rsidRDefault="00254DF6" w:rsidP="00E21C70">
            <w:pPr>
              <w:pStyle w:val="Body"/>
              <w:ind w:firstLine="0"/>
              <w:rPr>
                <w:rFonts w:cs="Calibri"/>
                <w:color w:val="000000"/>
                <w:sz w:val="18"/>
                <w:szCs w:val="18"/>
              </w:rPr>
            </w:pPr>
            <w:r w:rsidRPr="00465A26">
              <w:rPr>
                <w:rFonts w:cs="Calibri"/>
                <w:color w:val="000000"/>
                <w:sz w:val="18"/>
                <w:szCs w:val="18"/>
              </w:rPr>
              <w:t>Existing</w:t>
            </w:r>
          </w:p>
        </w:tc>
        <w:tc>
          <w:tcPr>
            <w:tcW w:w="797" w:type="dxa"/>
            <w:vAlign w:val="center"/>
          </w:tcPr>
          <w:p w14:paraId="3BCE91CA"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39</w:t>
            </w:r>
          </w:p>
        </w:tc>
        <w:tc>
          <w:tcPr>
            <w:tcW w:w="875" w:type="dxa"/>
            <w:vAlign w:val="center"/>
          </w:tcPr>
          <w:p w14:paraId="7EBBCF24"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141</w:t>
            </w:r>
          </w:p>
        </w:tc>
        <w:tc>
          <w:tcPr>
            <w:tcW w:w="1071" w:type="dxa"/>
            <w:vAlign w:val="center"/>
          </w:tcPr>
          <w:p w14:paraId="06069357"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10.450</w:t>
            </w:r>
          </w:p>
        </w:tc>
        <w:tc>
          <w:tcPr>
            <w:tcW w:w="982" w:type="dxa"/>
            <w:vAlign w:val="center"/>
          </w:tcPr>
          <w:p w14:paraId="454F1C70"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171</w:t>
            </w:r>
          </w:p>
        </w:tc>
        <w:tc>
          <w:tcPr>
            <w:tcW w:w="1210" w:type="dxa"/>
            <w:vAlign w:val="center"/>
          </w:tcPr>
          <w:p w14:paraId="0702D87F"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56.519</w:t>
            </w:r>
          </w:p>
        </w:tc>
        <w:tc>
          <w:tcPr>
            <w:tcW w:w="1539" w:type="dxa"/>
            <w:vAlign w:val="center"/>
          </w:tcPr>
          <w:p w14:paraId="13383184"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67.140</w:t>
            </w:r>
          </w:p>
        </w:tc>
      </w:tr>
      <w:tr w:rsidR="00254DF6" w:rsidRPr="00465A26" w14:paraId="29246616" w14:textId="77777777" w:rsidTr="00E21C70">
        <w:trPr>
          <w:trHeight w:val="427"/>
          <w:jc w:val="center"/>
        </w:trPr>
        <w:tc>
          <w:tcPr>
            <w:tcW w:w="1146" w:type="dxa"/>
          </w:tcPr>
          <w:p w14:paraId="6E7F6734" w14:textId="77777777" w:rsidR="00254DF6" w:rsidRPr="00465A26" w:rsidRDefault="00254DF6" w:rsidP="00E21C70">
            <w:pPr>
              <w:pStyle w:val="Body"/>
              <w:ind w:firstLine="0"/>
              <w:rPr>
                <w:rFonts w:cs="Calibri"/>
                <w:color w:val="000000"/>
                <w:sz w:val="18"/>
                <w:szCs w:val="18"/>
              </w:rPr>
            </w:pPr>
            <w:r w:rsidRPr="00465A26">
              <w:rPr>
                <w:rFonts w:cs="Calibri"/>
                <w:color w:val="000000"/>
                <w:sz w:val="18"/>
                <w:szCs w:val="18"/>
              </w:rPr>
              <w:t>Difference</w:t>
            </w:r>
          </w:p>
        </w:tc>
        <w:tc>
          <w:tcPr>
            <w:tcW w:w="797" w:type="dxa"/>
            <w:vAlign w:val="center"/>
          </w:tcPr>
          <w:p w14:paraId="28A72011"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30</w:t>
            </w:r>
          </w:p>
        </w:tc>
        <w:tc>
          <w:tcPr>
            <w:tcW w:w="875" w:type="dxa"/>
            <w:vAlign w:val="center"/>
          </w:tcPr>
          <w:p w14:paraId="2E85EE7D"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61</w:t>
            </w:r>
          </w:p>
        </w:tc>
        <w:tc>
          <w:tcPr>
            <w:tcW w:w="1071" w:type="dxa"/>
            <w:vAlign w:val="center"/>
          </w:tcPr>
          <w:p w14:paraId="631B01BB"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4.520</w:t>
            </w:r>
          </w:p>
        </w:tc>
        <w:tc>
          <w:tcPr>
            <w:tcW w:w="982" w:type="dxa"/>
            <w:vAlign w:val="center"/>
          </w:tcPr>
          <w:p w14:paraId="1E1E5859"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0</w:t>
            </w:r>
          </w:p>
        </w:tc>
        <w:tc>
          <w:tcPr>
            <w:tcW w:w="1210" w:type="dxa"/>
            <w:vAlign w:val="center"/>
          </w:tcPr>
          <w:p w14:paraId="0D301A03"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588</w:t>
            </w:r>
          </w:p>
        </w:tc>
        <w:tc>
          <w:tcPr>
            <w:tcW w:w="1539" w:type="dxa"/>
            <w:vAlign w:val="center"/>
          </w:tcPr>
          <w:p w14:paraId="0962AA1A"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5.109</w:t>
            </w:r>
          </w:p>
        </w:tc>
      </w:tr>
      <w:tr w:rsidR="00254DF6" w:rsidRPr="00465A26" w14:paraId="7021F8F0" w14:textId="77777777" w:rsidTr="00E21C70">
        <w:trPr>
          <w:trHeight w:val="192"/>
          <w:jc w:val="center"/>
        </w:trPr>
        <w:tc>
          <w:tcPr>
            <w:tcW w:w="1146" w:type="dxa"/>
          </w:tcPr>
          <w:p w14:paraId="746D2E22" w14:textId="77777777" w:rsidR="00254DF6" w:rsidRPr="00465A26" w:rsidRDefault="00254DF6" w:rsidP="00E21C70">
            <w:pPr>
              <w:pStyle w:val="Body"/>
              <w:ind w:firstLine="0"/>
              <w:rPr>
                <w:rFonts w:cs="Calibri"/>
                <w:color w:val="000000"/>
                <w:sz w:val="18"/>
                <w:szCs w:val="18"/>
              </w:rPr>
            </w:pPr>
            <w:r w:rsidRPr="00465A26">
              <w:rPr>
                <w:rFonts w:cs="Calibri"/>
                <w:color w:val="000000"/>
                <w:sz w:val="18"/>
                <w:szCs w:val="18"/>
              </w:rPr>
              <w:t>(%)</w:t>
            </w:r>
          </w:p>
        </w:tc>
        <w:tc>
          <w:tcPr>
            <w:tcW w:w="797" w:type="dxa"/>
            <w:vAlign w:val="center"/>
          </w:tcPr>
          <w:p w14:paraId="1B8FCDE2"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43%</w:t>
            </w:r>
          </w:p>
        </w:tc>
        <w:tc>
          <w:tcPr>
            <w:tcW w:w="875" w:type="dxa"/>
            <w:vAlign w:val="center"/>
          </w:tcPr>
          <w:p w14:paraId="76DA1092"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43%</w:t>
            </w:r>
          </w:p>
        </w:tc>
        <w:tc>
          <w:tcPr>
            <w:tcW w:w="1071" w:type="dxa"/>
            <w:vAlign w:val="center"/>
          </w:tcPr>
          <w:p w14:paraId="26BA9718"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43%</w:t>
            </w:r>
          </w:p>
        </w:tc>
        <w:tc>
          <w:tcPr>
            <w:tcW w:w="982" w:type="dxa"/>
            <w:vAlign w:val="center"/>
          </w:tcPr>
          <w:p w14:paraId="5F43367A"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0</w:t>
            </w:r>
          </w:p>
        </w:tc>
        <w:tc>
          <w:tcPr>
            <w:tcW w:w="1210" w:type="dxa"/>
            <w:vAlign w:val="center"/>
          </w:tcPr>
          <w:p w14:paraId="308DE074"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1%</w:t>
            </w:r>
          </w:p>
        </w:tc>
        <w:tc>
          <w:tcPr>
            <w:tcW w:w="1539" w:type="dxa"/>
            <w:vAlign w:val="center"/>
          </w:tcPr>
          <w:p w14:paraId="4DE89ED4" w14:textId="77777777" w:rsidR="00254DF6" w:rsidRPr="00465A26" w:rsidRDefault="00254DF6" w:rsidP="00E21C70">
            <w:pPr>
              <w:pStyle w:val="Body"/>
              <w:ind w:firstLine="0"/>
              <w:jc w:val="center"/>
              <w:rPr>
                <w:rFonts w:cs="Calibri"/>
                <w:color w:val="000000"/>
                <w:sz w:val="18"/>
                <w:szCs w:val="18"/>
              </w:rPr>
            </w:pPr>
            <w:r w:rsidRPr="00465A26">
              <w:rPr>
                <w:rFonts w:cs="Calibri"/>
                <w:color w:val="000000"/>
                <w:sz w:val="18"/>
                <w:szCs w:val="18"/>
              </w:rPr>
              <w:t>8%</w:t>
            </w:r>
          </w:p>
        </w:tc>
      </w:tr>
    </w:tbl>
    <w:p w14:paraId="62580BCB" w14:textId="77777777" w:rsidR="00254DF6" w:rsidRPr="00F90251" w:rsidRDefault="00254DF6" w:rsidP="0003786E">
      <w:pPr>
        <w:pStyle w:val="Body"/>
        <w:spacing w:after="240"/>
        <w:ind w:left="630" w:right="688" w:firstLine="0"/>
        <w:jc w:val="center"/>
        <w:rPr>
          <w:sz w:val="18"/>
          <w:szCs w:val="18"/>
        </w:rPr>
      </w:pPr>
      <w:r w:rsidRPr="00F90251">
        <w:rPr>
          <w:color w:val="000000"/>
          <w:sz w:val="18"/>
          <w:szCs w:val="18"/>
        </w:rPr>
        <w:t xml:space="preserve">Note: </w:t>
      </w:r>
      <w:proofErr w:type="spellStart"/>
      <w:r w:rsidRPr="00F90251">
        <w:rPr>
          <w:color w:val="000000"/>
          <w:sz w:val="18"/>
          <w:szCs w:val="18"/>
        </w:rPr>
        <w:t>Q</w:t>
      </w:r>
      <w:r w:rsidRPr="00F90251">
        <w:rPr>
          <w:color w:val="000000"/>
          <w:sz w:val="18"/>
          <w:szCs w:val="18"/>
          <w:vertAlign w:val="subscript"/>
        </w:rPr>
        <w:t>opt</w:t>
      </w:r>
      <w:proofErr w:type="spellEnd"/>
      <w:r w:rsidRPr="00F90251">
        <w:rPr>
          <w:color w:val="000000"/>
          <w:sz w:val="18"/>
          <w:szCs w:val="18"/>
        </w:rPr>
        <w:t xml:space="preserve"> = Optimal Order Quantity, FP= Ordering Frequency, BP= Ordering Cost, BS=Holding Cost, RM= Raw Material Cost, TIC= Total Inventory Cost</w:t>
      </w:r>
      <w:r w:rsidRPr="00F90251">
        <w:rPr>
          <w:sz w:val="18"/>
          <w:szCs w:val="18"/>
        </w:rPr>
        <w:t>.</w:t>
      </w:r>
    </w:p>
    <w:p w14:paraId="66C94748" w14:textId="77777777" w:rsidR="00254DF6" w:rsidRPr="00465A26" w:rsidRDefault="00254DF6" w:rsidP="00465A26">
      <w:pPr>
        <w:pStyle w:val="BodyText"/>
        <w:spacing w:after="0" w:line="276" w:lineRule="auto"/>
        <w:ind w:firstLine="567"/>
        <w:rPr>
          <w:sz w:val="20"/>
        </w:rPr>
      </w:pPr>
      <w:r w:rsidRPr="00465A26">
        <w:rPr>
          <w:sz w:val="20"/>
        </w:rPr>
        <w:t xml:space="preserve">Optimization that </w:t>
      </w:r>
      <w:r w:rsidRPr="00465A26">
        <w:rPr>
          <w:rFonts w:eastAsia="Times New Roman"/>
          <w:sz w:val="20"/>
        </w:rPr>
        <w:t>considers</w:t>
      </w:r>
      <w:r w:rsidRPr="00465A26">
        <w:rPr>
          <w:sz w:val="20"/>
        </w:rPr>
        <w:t xml:space="preserve"> quantity discounts results in a reduction in ordering frequency from 141 times to 80 times, with an optimal order quantity of 69 units (Table 6). Ordering costs decreased by IDR 4,520,960 or 43%, while savings in raw material costs reached IDR 588,620. Overall, the total inventory cost (TIC) decreased by IDR 5,109,580, equivalent to an 8% reduction compared to the pre-optimization condition.</w:t>
      </w:r>
    </w:p>
    <w:p w14:paraId="52C07B82" w14:textId="77777777" w:rsidR="00254DF6" w:rsidRPr="003D7A01" w:rsidRDefault="00254DF6" w:rsidP="0003786E">
      <w:pPr>
        <w:pStyle w:val="Body"/>
        <w:ind w:firstLine="720"/>
      </w:pPr>
    </w:p>
    <w:p w14:paraId="3D4F08B6" w14:textId="77777777" w:rsidR="00254DF6" w:rsidRPr="003D7A01" w:rsidRDefault="00254DF6" w:rsidP="0003786E">
      <w:pPr>
        <w:pStyle w:val="BodyText"/>
        <w:ind w:firstLine="0"/>
        <w:rPr>
          <w:b/>
          <w:bCs/>
          <w:sz w:val="20"/>
          <w:szCs w:val="18"/>
        </w:rPr>
      </w:pPr>
      <w:r w:rsidRPr="003D7A01">
        <w:rPr>
          <w:b/>
          <w:bCs/>
          <w:sz w:val="20"/>
          <w:szCs w:val="18"/>
        </w:rPr>
        <w:t>3.8 Proposed Inventory Control System</w:t>
      </w:r>
    </w:p>
    <w:p w14:paraId="2035A8B4" w14:textId="77777777" w:rsidR="00DD03AA" w:rsidRPr="003D7A01" w:rsidRDefault="00254DF6" w:rsidP="00465A26">
      <w:pPr>
        <w:pStyle w:val="BodyText"/>
        <w:spacing w:after="0" w:line="276" w:lineRule="auto"/>
        <w:ind w:firstLine="567"/>
        <w:rPr>
          <w:rFonts w:eastAsia="Times New Roman"/>
          <w:sz w:val="20"/>
        </w:rPr>
      </w:pPr>
      <w:r w:rsidRPr="003D7A01">
        <w:rPr>
          <w:rFonts w:eastAsia="Times New Roman"/>
          <w:sz w:val="20"/>
        </w:rPr>
        <w:t xml:space="preserve">This stage is carried out to design a semi-manual inventory control system, which is recommended as a solution to reduce the risk of overstock, stockouts, and inaccuracies in determining order quantity and frequency. The proposed system includes mechanisms for recording demand, calculating optimal order quantity using the EOQ method, determining ordering intervals, setting safety stock, identifying the reorder point, and estimating total inventory costs. All design procedures are facilitated through the use of Microsoft Excel, enabling SME owners to implement the inventory control system independently and in a structured manner. </w:t>
      </w:r>
    </w:p>
    <w:p w14:paraId="619BF071" w14:textId="45671FA4" w:rsidR="00254DF6" w:rsidRPr="003D7A01" w:rsidRDefault="00254DF6" w:rsidP="00465A26">
      <w:pPr>
        <w:pStyle w:val="BodyText"/>
        <w:spacing w:after="0" w:line="276" w:lineRule="auto"/>
        <w:ind w:firstLine="567"/>
        <w:rPr>
          <w:sz w:val="20"/>
        </w:rPr>
      </w:pPr>
      <w:r w:rsidRPr="003D7A01">
        <w:rPr>
          <w:sz w:val="20"/>
        </w:rPr>
        <w:t>The inputs for the system are holding cost per unit per year (HC), ordering cost per year (OC), order quantity (Q), annual demand in units (D), price per unit (P), ordering cost per order (S), and holding cost per year (H). These inputs are used to calculate the outputs, namely the optimal number of units per order (Q*) using the EOQ method, total cost (TC), order frequency over one year (F), safety stock, reorder point (ROP), and total inventory cost (TIC). These output calculations use the formulas presented in subsection 2.3.</w:t>
      </w:r>
    </w:p>
    <w:p w14:paraId="36640481" w14:textId="77777777" w:rsidR="00254DF6" w:rsidRPr="003D7A01" w:rsidRDefault="00254DF6" w:rsidP="00465A26">
      <w:pPr>
        <w:pStyle w:val="Body"/>
        <w:numPr>
          <w:ilvl w:val="0"/>
          <w:numId w:val="11"/>
        </w:numPr>
        <w:spacing w:line="276" w:lineRule="auto"/>
        <w:ind w:left="426"/>
      </w:pPr>
      <w:r w:rsidRPr="003D7A01">
        <w:t>The Design of Raw Material Demand History</w:t>
      </w:r>
    </w:p>
    <w:p w14:paraId="360DA075" w14:textId="77777777" w:rsidR="00254DF6" w:rsidRPr="003D7A01" w:rsidRDefault="00254DF6" w:rsidP="00465A26">
      <w:pPr>
        <w:pStyle w:val="Body"/>
        <w:spacing w:line="276" w:lineRule="auto"/>
        <w:ind w:left="426" w:firstLine="0"/>
      </w:pPr>
      <w:r w:rsidRPr="003D7A01">
        <w:t>The design of a raw material demand history recording system serves as a solution to inventory control problems arising from the absence of prior demand documentation (Fig. 3).</w:t>
      </w:r>
    </w:p>
    <w:p w14:paraId="43D168F1" w14:textId="77777777" w:rsidR="00254DF6" w:rsidRPr="003D7A01" w:rsidRDefault="00254DF6" w:rsidP="0003786E">
      <w:pPr>
        <w:pStyle w:val="Body"/>
        <w:ind w:left="720" w:firstLine="0"/>
      </w:pPr>
    </w:p>
    <w:p w14:paraId="53B3C77B" w14:textId="77777777" w:rsidR="00254DF6" w:rsidRPr="003D7A01" w:rsidRDefault="00254DF6" w:rsidP="0003786E">
      <w:pPr>
        <w:pStyle w:val="Body"/>
        <w:ind w:firstLine="0"/>
        <w:jc w:val="center"/>
      </w:pPr>
      <w:r w:rsidRPr="003D7A01">
        <w:rPr>
          <w:noProof/>
          <w:lang w:eastAsia="en-ID"/>
        </w:rPr>
        <w:drawing>
          <wp:inline distT="0" distB="0" distL="0" distR="0" wp14:anchorId="1B75FAAE" wp14:editId="61E0098C">
            <wp:extent cx="4514850" cy="1708150"/>
            <wp:effectExtent l="0" t="0" r="0" b="6350"/>
            <wp:docPr id="16617701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r="1488" b="5409"/>
                    <a:stretch>
                      <a:fillRect/>
                    </a:stretch>
                  </pic:blipFill>
                  <pic:spPr bwMode="auto">
                    <a:xfrm>
                      <a:off x="0" y="0"/>
                      <a:ext cx="4514850" cy="1708150"/>
                    </a:xfrm>
                    <a:prstGeom prst="rect">
                      <a:avLst/>
                    </a:prstGeom>
                    <a:noFill/>
                    <a:ln>
                      <a:noFill/>
                    </a:ln>
                  </pic:spPr>
                </pic:pic>
              </a:graphicData>
            </a:graphic>
          </wp:inline>
        </w:drawing>
      </w:r>
    </w:p>
    <w:p w14:paraId="32F8A309" w14:textId="77777777" w:rsidR="00254DF6" w:rsidRPr="003D7A01" w:rsidRDefault="00254DF6" w:rsidP="0003786E">
      <w:pPr>
        <w:pStyle w:val="figurecaption"/>
        <w:rPr>
          <w:rFonts w:ascii="Times New Roman" w:eastAsia="MS Mincho" w:hAnsi="Times New Roman"/>
        </w:rPr>
      </w:pPr>
      <w:r w:rsidRPr="003D7A01">
        <w:rPr>
          <w:rFonts w:ascii="Times New Roman" w:eastAsia="MS Mincho" w:hAnsi="Times New Roman"/>
        </w:rPr>
        <w:t>Designing The Recording of Raw Material Requests</w:t>
      </w:r>
    </w:p>
    <w:p w14:paraId="07935296" w14:textId="77777777" w:rsidR="00254DF6" w:rsidRPr="003D7A01" w:rsidRDefault="00254DF6" w:rsidP="00465A26">
      <w:pPr>
        <w:pStyle w:val="Body"/>
        <w:numPr>
          <w:ilvl w:val="0"/>
          <w:numId w:val="11"/>
        </w:numPr>
        <w:spacing w:line="276" w:lineRule="auto"/>
        <w:ind w:left="426"/>
      </w:pPr>
      <w:r w:rsidRPr="003D7A01">
        <w:t>Design of EOQ Calculation Menu</w:t>
      </w:r>
    </w:p>
    <w:p w14:paraId="39D3EE74" w14:textId="77777777" w:rsidR="00254DF6" w:rsidRPr="003D7A01" w:rsidRDefault="00254DF6" w:rsidP="00465A26">
      <w:pPr>
        <w:pStyle w:val="Body"/>
        <w:spacing w:line="276" w:lineRule="auto"/>
        <w:ind w:left="426" w:firstLine="0"/>
      </w:pPr>
      <w:r w:rsidRPr="003D7A01">
        <w:t>This design is intended to determine the optimal order quantity independently, thereby reducing the total inventory costs incurred (Fig. 4).</w:t>
      </w:r>
    </w:p>
    <w:p w14:paraId="126FA731" w14:textId="77777777" w:rsidR="00254DF6" w:rsidRPr="003D7A01" w:rsidRDefault="00254DF6" w:rsidP="0003786E">
      <w:pPr>
        <w:pStyle w:val="Body"/>
        <w:ind w:left="720" w:firstLine="0"/>
      </w:pPr>
    </w:p>
    <w:p w14:paraId="606DCE7A" w14:textId="77777777" w:rsidR="00254DF6" w:rsidRPr="003D7A01" w:rsidRDefault="00254DF6" w:rsidP="0003786E">
      <w:pPr>
        <w:pStyle w:val="Body"/>
        <w:ind w:firstLine="0"/>
        <w:jc w:val="center"/>
      </w:pPr>
      <w:r w:rsidRPr="003D7A01">
        <w:rPr>
          <w:noProof/>
          <w:lang w:eastAsia="en-ID"/>
        </w:rPr>
        <w:drawing>
          <wp:inline distT="0" distB="0" distL="0" distR="0" wp14:anchorId="6C9D1E06" wp14:editId="6295C437">
            <wp:extent cx="4572000" cy="1447800"/>
            <wp:effectExtent l="0" t="0" r="0" b="0"/>
            <wp:docPr id="14365991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l="566" t="1178" r="922" b="1572"/>
                    <a:stretch>
                      <a:fillRect/>
                    </a:stretch>
                  </pic:blipFill>
                  <pic:spPr bwMode="auto">
                    <a:xfrm>
                      <a:off x="0" y="0"/>
                      <a:ext cx="4572000" cy="1447800"/>
                    </a:xfrm>
                    <a:prstGeom prst="rect">
                      <a:avLst/>
                    </a:prstGeom>
                    <a:noFill/>
                    <a:ln>
                      <a:noFill/>
                    </a:ln>
                  </pic:spPr>
                </pic:pic>
              </a:graphicData>
            </a:graphic>
          </wp:inline>
        </w:drawing>
      </w:r>
    </w:p>
    <w:p w14:paraId="6F9709B1" w14:textId="77777777" w:rsidR="00254DF6" w:rsidRPr="003D7A01" w:rsidRDefault="00254DF6" w:rsidP="0003786E">
      <w:pPr>
        <w:pStyle w:val="figurecaption"/>
        <w:rPr>
          <w:rFonts w:ascii="Times New Roman" w:eastAsia="MS Mincho" w:hAnsi="Times New Roman"/>
        </w:rPr>
      </w:pPr>
      <w:r w:rsidRPr="003D7A01">
        <w:rPr>
          <w:rFonts w:ascii="Times New Roman" w:eastAsia="MS Mincho" w:hAnsi="Times New Roman"/>
        </w:rPr>
        <w:t>Menu Display for Determining Optimal Number of Orders</w:t>
      </w:r>
    </w:p>
    <w:p w14:paraId="105BB04F" w14:textId="77777777" w:rsidR="00254DF6" w:rsidRPr="003D7A01" w:rsidRDefault="00254DF6" w:rsidP="00465A26">
      <w:pPr>
        <w:pStyle w:val="Body"/>
        <w:numPr>
          <w:ilvl w:val="0"/>
          <w:numId w:val="11"/>
        </w:numPr>
        <w:spacing w:line="276" w:lineRule="auto"/>
        <w:ind w:left="426"/>
      </w:pPr>
      <w:r w:rsidRPr="003D7A01">
        <w:t>Design of the Ordering Frequency Display Menu</w:t>
      </w:r>
    </w:p>
    <w:p w14:paraId="2887747B" w14:textId="77777777" w:rsidR="00254DF6" w:rsidRPr="003D7A01" w:rsidRDefault="00254DF6" w:rsidP="00465A26">
      <w:pPr>
        <w:pStyle w:val="Body"/>
        <w:spacing w:line="276" w:lineRule="auto"/>
        <w:ind w:left="426" w:firstLine="0"/>
      </w:pPr>
      <w:r w:rsidRPr="003D7A01">
        <w:t>This design aims to determine the ordering frequency independently in order to improve accuracy in planning raw material requirements (Fig. 5).</w:t>
      </w:r>
    </w:p>
    <w:p w14:paraId="6F8C6BD8" w14:textId="77777777" w:rsidR="00254DF6" w:rsidRPr="003D7A01" w:rsidRDefault="00254DF6" w:rsidP="0003786E">
      <w:pPr>
        <w:pStyle w:val="Body"/>
        <w:ind w:left="426" w:firstLine="0"/>
      </w:pPr>
    </w:p>
    <w:p w14:paraId="79124383" w14:textId="77777777" w:rsidR="00254DF6" w:rsidRPr="003D7A01" w:rsidRDefault="00254DF6" w:rsidP="0003786E">
      <w:pPr>
        <w:pStyle w:val="Body"/>
        <w:ind w:left="142" w:firstLine="0"/>
        <w:jc w:val="center"/>
      </w:pPr>
      <w:r w:rsidRPr="003D7A01">
        <w:rPr>
          <w:noProof/>
          <w:lang w:eastAsia="en-ID"/>
        </w:rPr>
        <w:drawing>
          <wp:inline distT="0" distB="0" distL="0" distR="0" wp14:anchorId="26954B86" wp14:editId="487F097A">
            <wp:extent cx="4445000" cy="1066800"/>
            <wp:effectExtent l="0" t="0" r="0" b="0"/>
            <wp:docPr id="15574486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45000" cy="1066800"/>
                    </a:xfrm>
                    <a:prstGeom prst="rect">
                      <a:avLst/>
                    </a:prstGeom>
                    <a:noFill/>
                    <a:ln>
                      <a:noFill/>
                    </a:ln>
                  </pic:spPr>
                </pic:pic>
              </a:graphicData>
            </a:graphic>
          </wp:inline>
        </w:drawing>
      </w:r>
    </w:p>
    <w:p w14:paraId="4CB4F725" w14:textId="77777777" w:rsidR="00254DF6" w:rsidRPr="003D7A01" w:rsidRDefault="00254DF6" w:rsidP="0003786E">
      <w:pPr>
        <w:pStyle w:val="figurecaption"/>
        <w:rPr>
          <w:rFonts w:ascii="Times New Roman" w:eastAsia="MS Mincho" w:hAnsi="Times New Roman"/>
        </w:rPr>
      </w:pPr>
      <w:r w:rsidRPr="003D7A01">
        <w:rPr>
          <w:rFonts w:ascii="Times New Roman" w:eastAsia="MS Mincho" w:hAnsi="Times New Roman"/>
        </w:rPr>
        <w:t>Order Frequency Display Menu</w:t>
      </w:r>
    </w:p>
    <w:p w14:paraId="557A1856" w14:textId="77777777" w:rsidR="00254DF6" w:rsidRPr="003D7A01" w:rsidRDefault="00254DF6" w:rsidP="0003786E">
      <w:pPr>
        <w:pStyle w:val="Body"/>
        <w:numPr>
          <w:ilvl w:val="0"/>
          <w:numId w:val="11"/>
        </w:numPr>
        <w:ind w:left="284"/>
      </w:pPr>
      <w:r w:rsidRPr="003D7A01">
        <w:t>Design of the Safety Stock Calculation Menu</w:t>
      </w:r>
    </w:p>
    <w:p w14:paraId="48048989" w14:textId="77777777" w:rsidR="00254DF6" w:rsidRPr="003D7A01" w:rsidRDefault="00254DF6" w:rsidP="0003786E">
      <w:pPr>
        <w:pStyle w:val="Body"/>
        <w:ind w:left="284" w:firstLine="0"/>
      </w:pPr>
      <w:r w:rsidRPr="003D7A01">
        <w:t>This design is focused on determining the appropriate level of safety stock independently to anticipate the risk of stockouts due to uncertainty in the raw material procurement process (Fig. 6).</w:t>
      </w:r>
    </w:p>
    <w:p w14:paraId="711D34FE" w14:textId="77777777" w:rsidR="00254DF6" w:rsidRPr="003D7A01" w:rsidRDefault="00254DF6" w:rsidP="0003786E">
      <w:pPr>
        <w:pStyle w:val="Body"/>
        <w:ind w:left="284" w:firstLine="0"/>
      </w:pPr>
    </w:p>
    <w:p w14:paraId="0886E784" w14:textId="77777777" w:rsidR="00254DF6" w:rsidRPr="003D7A01" w:rsidRDefault="00254DF6" w:rsidP="0003786E">
      <w:pPr>
        <w:pStyle w:val="Body"/>
        <w:ind w:left="142" w:firstLine="0"/>
        <w:jc w:val="center"/>
      </w:pPr>
      <w:r w:rsidRPr="003D7A01">
        <w:rPr>
          <w:noProof/>
          <w:lang w:eastAsia="en-ID"/>
        </w:rPr>
        <w:drawing>
          <wp:inline distT="0" distB="0" distL="0" distR="0" wp14:anchorId="4C9B7732" wp14:editId="033885E5">
            <wp:extent cx="4400550" cy="1282700"/>
            <wp:effectExtent l="0" t="0" r="0" b="0"/>
            <wp:docPr id="10973512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0550" cy="1282700"/>
                    </a:xfrm>
                    <a:prstGeom prst="rect">
                      <a:avLst/>
                    </a:prstGeom>
                    <a:noFill/>
                    <a:ln>
                      <a:noFill/>
                    </a:ln>
                  </pic:spPr>
                </pic:pic>
              </a:graphicData>
            </a:graphic>
          </wp:inline>
        </w:drawing>
      </w:r>
    </w:p>
    <w:p w14:paraId="3A6C7484" w14:textId="77777777" w:rsidR="00254DF6" w:rsidRPr="003D7A01" w:rsidRDefault="00254DF6" w:rsidP="0003786E">
      <w:pPr>
        <w:pStyle w:val="figurecaption"/>
        <w:rPr>
          <w:rFonts w:ascii="Times New Roman" w:eastAsia="MS Mincho" w:hAnsi="Times New Roman"/>
        </w:rPr>
      </w:pPr>
      <w:r w:rsidRPr="003D7A01">
        <w:rPr>
          <w:rFonts w:ascii="Times New Roman" w:eastAsia="MS Mincho" w:hAnsi="Times New Roman"/>
        </w:rPr>
        <w:t>Designing The Determination of Safety Stock</w:t>
      </w:r>
    </w:p>
    <w:p w14:paraId="6DBEC351" w14:textId="77777777" w:rsidR="00254DF6" w:rsidRPr="003D7A01" w:rsidRDefault="00254DF6" w:rsidP="00465A26">
      <w:pPr>
        <w:pStyle w:val="Body"/>
        <w:numPr>
          <w:ilvl w:val="0"/>
          <w:numId w:val="11"/>
        </w:numPr>
        <w:spacing w:line="276" w:lineRule="auto"/>
        <w:ind w:left="284"/>
      </w:pPr>
      <w:r w:rsidRPr="003D7A01">
        <w:t xml:space="preserve">Design of Reorder Point Determination </w:t>
      </w:r>
    </w:p>
    <w:p w14:paraId="4A57F2AF" w14:textId="77777777" w:rsidR="00254DF6" w:rsidRPr="003D7A01" w:rsidRDefault="00254DF6" w:rsidP="00465A26">
      <w:pPr>
        <w:pStyle w:val="Body"/>
        <w:spacing w:line="276" w:lineRule="auto"/>
        <w:ind w:left="284" w:firstLine="0"/>
      </w:pPr>
      <w:r w:rsidRPr="003D7A01">
        <w:t>This design functions to establish the minimum level of raw material inventory that must be maintained by the SME owner. In addition, this application helps determine the appropriate time for reordering by identifying the minimum quantity of raw materials at which a reorder should be placed independently (Fig. 7).</w:t>
      </w:r>
    </w:p>
    <w:p w14:paraId="2B0611F2" w14:textId="77777777" w:rsidR="00254DF6" w:rsidRPr="003D7A01" w:rsidRDefault="00254DF6" w:rsidP="0003786E">
      <w:pPr>
        <w:pStyle w:val="Body"/>
        <w:ind w:left="720" w:firstLine="0"/>
      </w:pPr>
    </w:p>
    <w:p w14:paraId="22EB39BF" w14:textId="77777777" w:rsidR="00254DF6" w:rsidRPr="003D7A01" w:rsidRDefault="00254DF6" w:rsidP="0003786E">
      <w:pPr>
        <w:pStyle w:val="Body"/>
        <w:ind w:firstLine="0"/>
        <w:jc w:val="center"/>
      </w:pPr>
      <w:r w:rsidRPr="003D7A01">
        <w:rPr>
          <w:noProof/>
          <w:lang w:eastAsia="en-ID"/>
        </w:rPr>
        <w:drawing>
          <wp:inline distT="0" distB="0" distL="0" distR="0" wp14:anchorId="2A7555AB" wp14:editId="726452CB">
            <wp:extent cx="4851400" cy="1409700"/>
            <wp:effectExtent l="0" t="0" r="6350" b="0"/>
            <wp:docPr id="17926854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l="117" t="-2" r="241" b="960"/>
                    <a:stretch>
                      <a:fillRect/>
                    </a:stretch>
                  </pic:blipFill>
                  <pic:spPr bwMode="auto">
                    <a:xfrm>
                      <a:off x="0" y="0"/>
                      <a:ext cx="4851400" cy="1409700"/>
                    </a:xfrm>
                    <a:prstGeom prst="rect">
                      <a:avLst/>
                    </a:prstGeom>
                    <a:noFill/>
                    <a:ln>
                      <a:noFill/>
                    </a:ln>
                  </pic:spPr>
                </pic:pic>
              </a:graphicData>
            </a:graphic>
          </wp:inline>
        </w:drawing>
      </w:r>
    </w:p>
    <w:p w14:paraId="35131D25" w14:textId="77777777" w:rsidR="00254DF6" w:rsidRPr="003D7A01" w:rsidRDefault="00254DF6" w:rsidP="0003786E">
      <w:pPr>
        <w:pStyle w:val="figurecaption"/>
        <w:rPr>
          <w:rFonts w:ascii="Times New Roman" w:eastAsia="MS Mincho" w:hAnsi="Times New Roman"/>
        </w:rPr>
      </w:pPr>
      <w:r w:rsidRPr="003D7A01">
        <w:rPr>
          <w:rFonts w:ascii="Times New Roman" w:eastAsia="MS Mincho" w:hAnsi="Times New Roman"/>
        </w:rPr>
        <w:t>Designing The Determination of Reorder Pont</w:t>
      </w:r>
    </w:p>
    <w:p w14:paraId="3951D63B" w14:textId="77777777" w:rsidR="00254DF6" w:rsidRPr="003D7A01" w:rsidRDefault="00254DF6" w:rsidP="00465A26">
      <w:pPr>
        <w:pStyle w:val="Body"/>
        <w:numPr>
          <w:ilvl w:val="0"/>
          <w:numId w:val="11"/>
        </w:numPr>
        <w:spacing w:line="276" w:lineRule="auto"/>
        <w:ind w:left="426"/>
      </w:pPr>
      <w:r w:rsidRPr="003D7A01">
        <w:t>Design of The Total Inventory Cost Calculation System</w:t>
      </w:r>
    </w:p>
    <w:p w14:paraId="13945B58" w14:textId="77777777" w:rsidR="00254DF6" w:rsidRPr="003D7A01" w:rsidRDefault="00254DF6" w:rsidP="00465A26">
      <w:pPr>
        <w:pStyle w:val="Body"/>
        <w:spacing w:line="276" w:lineRule="auto"/>
        <w:ind w:left="426" w:firstLine="0"/>
      </w:pPr>
      <w:r w:rsidRPr="003D7A01">
        <w:t>This design functions to assist business owners in calculating the total inventory costs incurred, as well as to facilitate the monitoring and control of inventory costs as a basis for making more efficient and independent raw material procurement decisions (Fig. 8).</w:t>
      </w:r>
    </w:p>
    <w:p w14:paraId="3D810481" w14:textId="77777777" w:rsidR="00254DF6" w:rsidRPr="003D7A01" w:rsidRDefault="00254DF6" w:rsidP="00465A26">
      <w:pPr>
        <w:pStyle w:val="Body"/>
        <w:spacing w:line="276" w:lineRule="auto"/>
        <w:ind w:left="720" w:firstLine="0"/>
      </w:pPr>
    </w:p>
    <w:p w14:paraId="199691EC" w14:textId="77777777" w:rsidR="00254DF6" w:rsidRPr="003D7A01" w:rsidRDefault="00254DF6" w:rsidP="0003786E">
      <w:pPr>
        <w:pStyle w:val="Body"/>
        <w:ind w:left="142" w:firstLine="0"/>
        <w:jc w:val="center"/>
      </w:pPr>
      <w:r w:rsidRPr="003D7A01">
        <w:rPr>
          <w:noProof/>
          <w:lang w:eastAsia="en-ID"/>
        </w:rPr>
        <w:drawing>
          <wp:inline distT="0" distB="0" distL="0" distR="0" wp14:anchorId="0DC92624" wp14:editId="78C8F83C">
            <wp:extent cx="4813300" cy="1651000"/>
            <wp:effectExtent l="0" t="0" r="6350" b="6350"/>
            <wp:docPr id="9396553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a:extLst>
                        <a:ext uri="{28A0092B-C50C-407E-A947-70E740481C1C}">
                          <a14:useLocalDpi xmlns:a14="http://schemas.microsoft.com/office/drawing/2010/main" val="0"/>
                        </a:ext>
                      </a:extLst>
                    </a:blip>
                    <a:srcRect l="84" r="443" b="1213"/>
                    <a:stretch>
                      <a:fillRect/>
                    </a:stretch>
                  </pic:blipFill>
                  <pic:spPr bwMode="auto">
                    <a:xfrm>
                      <a:off x="0" y="0"/>
                      <a:ext cx="4813300" cy="1651000"/>
                    </a:xfrm>
                    <a:prstGeom prst="rect">
                      <a:avLst/>
                    </a:prstGeom>
                    <a:noFill/>
                    <a:ln>
                      <a:noFill/>
                    </a:ln>
                  </pic:spPr>
                </pic:pic>
              </a:graphicData>
            </a:graphic>
          </wp:inline>
        </w:drawing>
      </w:r>
    </w:p>
    <w:p w14:paraId="4068C208" w14:textId="77777777" w:rsidR="00254DF6" w:rsidRPr="003D7A01" w:rsidRDefault="00254DF6" w:rsidP="0003786E">
      <w:pPr>
        <w:pStyle w:val="figurecaption"/>
        <w:rPr>
          <w:rFonts w:ascii="Times New Roman" w:eastAsia="MS Mincho" w:hAnsi="Times New Roman"/>
        </w:rPr>
      </w:pPr>
      <w:r w:rsidRPr="003D7A01">
        <w:rPr>
          <w:rFonts w:ascii="Times New Roman" w:eastAsia="MS Mincho" w:hAnsi="Times New Roman"/>
        </w:rPr>
        <w:t>Menu Display of Total Inventory Cost Determination</w:t>
      </w:r>
    </w:p>
    <w:p w14:paraId="0DE888B2" w14:textId="77777777" w:rsidR="00254DF6" w:rsidRPr="003D7A01" w:rsidRDefault="00254DF6" w:rsidP="00465A26">
      <w:pPr>
        <w:pStyle w:val="figurecaption"/>
        <w:numPr>
          <w:ilvl w:val="0"/>
          <w:numId w:val="0"/>
        </w:numPr>
        <w:spacing w:line="276" w:lineRule="auto"/>
        <w:ind w:left="360"/>
        <w:jc w:val="both"/>
        <w:rPr>
          <w:rFonts w:ascii="Times New Roman" w:eastAsia="MS Mincho" w:hAnsi="Times New Roman"/>
        </w:rPr>
      </w:pPr>
      <w:r w:rsidRPr="003D7A01">
        <w:rPr>
          <w:rFonts w:ascii="Times New Roman" w:eastAsia="MS Mincho" w:hAnsi="Times New Roman"/>
        </w:rPr>
        <w:t>Field testing of the system was conducted directly at the UKM Tempe Galang. The owner was asked to input the raw materials purchased. The results showed that the owner and 2 employees were able to use this application. After conducting usability testing by providing instructions for filling in the target service level, demand standard deviation, lead time, and average demand, it was found that the task success rate was ≥ 90%, with a completion time per form of &lt; 2 minutes and an error rate of &lt; 10%.</w:t>
      </w:r>
    </w:p>
    <w:p w14:paraId="2CD0DBB3" w14:textId="77777777" w:rsidR="00254DF6" w:rsidRPr="003D7A01" w:rsidRDefault="00254DF6" w:rsidP="0003786E">
      <w:pPr>
        <w:pStyle w:val="BodyText"/>
        <w:ind w:firstLine="0"/>
        <w:rPr>
          <w:b/>
          <w:bCs/>
          <w:sz w:val="20"/>
          <w:szCs w:val="18"/>
        </w:rPr>
      </w:pPr>
      <w:r w:rsidRPr="003D7A01">
        <w:rPr>
          <w:b/>
          <w:bCs/>
          <w:sz w:val="20"/>
          <w:szCs w:val="18"/>
        </w:rPr>
        <w:t>3.8 Sensitivity Analysis</w:t>
      </w:r>
    </w:p>
    <w:p w14:paraId="63891CFE" w14:textId="467E70A3" w:rsidR="00254DF6" w:rsidRPr="003D7A01" w:rsidRDefault="00254DF6" w:rsidP="00465A26">
      <w:pPr>
        <w:pStyle w:val="BodyText"/>
        <w:spacing w:after="0" w:line="276" w:lineRule="auto"/>
        <w:ind w:firstLine="567"/>
        <w:rPr>
          <w:rFonts w:eastAsia="Times New Roman"/>
          <w:sz w:val="20"/>
        </w:rPr>
      </w:pPr>
      <w:r w:rsidRPr="003D7A01">
        <w:rPr>
          <w:rFonts w:eastAsia="Times New Roman"/>
          <w:sz w:val="20"/>
        </w:rPr>
        <w:t xml:space="preserve">The base-case values are listed in Table 8. The average daily demand is the total usage of 5,478 kg divided by 328 working days, </w:t>
      </w:r>
      <w:r w:rsidRPr="00465A26">
        <w:rPr>
          <w:color w:val="000000"/>
          <w:sz w:val="20"/>
          <w:szCs w:val="18"/>
        </w:rPr>
        <w:t>and</w:t>
      </w:r>
      <w:r w:rsidRPr="003D7A01">
        <w:rPr>
          <w:rFonts w:eastAsia="Times New Roman"/>
          <w:sz w:val="20"/>
        </w:rPr>
        <w:t xml:space="preserve"> σ is the standard deviation of monthly usage (432 kg) divided by 30 days. The results of the one-way analysis are given in Tables 9 and 10 and in Fig. 9.</w:t>
      </w:r>
    </w:p>
    <w:p w14:paraId="1E2A3A9B" w14:textId="77777777" w:rsidR="00254DF6" w:rsidRPr="00465A26" w:rsidRDefault="00254DF6" w:rsidP="0003786E">
      <w:pPr>
        <w:pStyle w:val="tablehead"/>
        <w:keepNext/>
        <w:numPr>
          <w:ilvl w:val="0"/>
          <w:numId w:val="0"/>
        </w:numPr>
        <w:spacing w:before="120"/>
        <w:ind w:left="357"/>
        <w:rPr>
          <w:rFonts w:ascii="Times New Roman" w:hAnsi="Times New Roman"/>
        </w:rPr>
      </w:pPr>
      <w:r w:rsidRPr="00465A26">
        <w:rPr>
          <w:rFonts w:ascii="Times New Roman" w:hAnsi="Times New Roman"/>
          <w:b/>
          <w:bCs/>
        </w:rPr>
        <w:t xml:space="preserve">Table 8. </w:t>
      </w:r>
      <w:r w:rsidRPr="00465A26">
        <w:rPr>
          <w:rFonts w:ascii="Times New Roman" w:hAnsi="Times New Roman"/>
        </w:rPr>
        <w:t>Base-Case Parameter Values Used in the Sensitivity Analysis</w:t>
      </w:r>
    </w:p>
    <w:tbl>
      <w:tblPr>
        <w:tblW w:w="7000" w:type="dxa"/>
        <w:jc w:val="center"/>
        <w:tblLayout w:type="fixed"/>
        <w:tblLook w:val="04A0" w:firstRow="1" w:lastRow="0" w:firstColumn="1" w:lastColumn="0" w:noHBand="0" w:noVBand="1"/>
      </w:tblPr>
      <w:tblGrid>
        <w:gridCol w:w="3100"/>
        <w:gridCol w:w="900"/>
        <w:gridCol w:w="3000"/>
      </w:tblGrid>
      <w:tr w:rsidR="00254DF6" w:rsidRPr="00465A26" w14:paraId="55AFBC26" w14:textId="77777777" w:rsidTr="00E21C70">
        <w:trPr>
          <w:cantSplit/>
          <w:trHeight w:val="330"/>
          <w:tblHeader/>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55170939" w14:textId="77777777" w:rsidR="00254DF6" w:rsidRPr="00465A26" w:rsidRDefault="00254DF6" w:rsidP="00E21C70">
            <w:pPr>
              <w:pStyle w:val="Body"/>
              <w:keepNext/>
              <w:ind w:firstLine="0"/>
              <w:jc w:val="center"/>
              <w:rPr>
                <w:b/>
                <w:bCs/>
                <w:color w:val="000000"/>
                <w:sz w:val="18"/>
                <w:szCs w:val="18"/>
              </w:rPr>
            </w:pPr>
            <w:r w:rsidRPr="00465A26">
              <w:rPr>
                <w:b/>
                <w:bCs/>
                <w:color w:val="000000"/>
                <w:sz w:val="18"/>
                <w:szCs w:val="18"/>
              </w:rPr>
              <w:t>Parameter</w:t>
            </w:r>
          </w:p>
        </w:tc>
        <w:tc>
          <w:tcPr>
            <w:tcW w:w="900" w:type="dxa"/>
            <w:tcBorders>
              <w:top w:val="single" w:sz="4" w:space="0" w:color="000000"/>
              <w:left w:val="single" w:sz="4" w:space="0" w:color="000000"/>
              <w:bottom w:val="single" w:sz="4" w:space="0" w:color="000000"/>
              <w:right w:val="single" w:sz="4" w:space="0" w:color="000000"/>
            </w:tcBorders>
            <w:vAlign w:val="center"/>
          </w:tcPr>
          <w:p w14:paraId="6FC9C365" w14:textId="77777777" w:rsidR="00254DF6" w:rsidRPr="00465A26" w:rsidRDefault="00254DF6" w:rsidP="00E21C70">
            <w:pPr>
              <w:pStyle w:val="Body"/>
              <w:keepNext/>
              <w:ind w:firstLine="0"/>
              <w:jc w:val="center"/>
              <w:rPr>
                <w:b/>
                <w:bCs/>
                <w:color w:val="000000"/>
                <w:sz w:val="18"/>
                <w:szCs w:val="18"/>
              </w:rPr>
            </w:pPr>
            <w:r w:rsidRPr="00465A26">
              <w:rPr>
                <w:b/>
                <w:bCs/>
                <w:color w:val="000000"/>
                <w:sz w:val="18"/>
                <w:szCs w:val="18"/>
              </w:rPr>
              <w:t>Symbol</w:t>
            </w:r>
          </w:p>
        </w:tc>
        <w:tc>
          <w:tcPr>
            <w:tcW w:w="3000" w:type="dxa"/>
            <w:tcBorders>
              <w:top w:val="single" w:sz="4" w:space="0" w:color="000000"/>
              <w:left w:val="single" w:sz="4" w:space="0" w:color="000000"/>
              <w:bottom w:val="single" w:sz="4" w:space="0" w:color="000000"/>
              <w:right w:val="single" w:sz="4" w:space="0" w:color="000000"/>
            </w:tcBorders>
            <w:vAlign w:val="center"/>
          </w:tcPr>
          <w:p w14:paraId="2A59E4EA" w14:textId="77777777" w:rsidR="00254DF6" w:rsidRPr="00465A26" w:rsidRDefault="00254DF6" w:rsidP="00E21C70">
            <w:pPr>
              <w:pStyle w:val="Body"/>
              <w:keepNext/>
              <w:ind w:firstLine="0"/>
              <w:jc w:val="center"/>
              <w:rPr>
                <w:b/>
                <w:bCs/>
                <w:color w:val="000000"/>
                <w:sz w:val="18"/>
                <w:szCs w:val="18"/>
              </w:rPr>
            </w:pPr>
            <w:r w:rsidRPr="00465A26">
              <w:rPr>
                <w:b/>
                <w:bCs/>
                <w:color w:val="000000"/>
                <w:sz w:val="18"/>
                <w:szCs w:val="18"/>
              </w:rPr>
              <w:t>Base-case value</w:t>
            </w:r>
          </w:p>
        </w:tc>
      </w:tr>
      <w:tr w:rsidR="00254DF6" w:rsidRPr="00465A26" w14:paraId="7B9A2392" w14:textId="77777777" w:rsidTr="00E21C70">
        <w:trPr>
          <w:cantSplit/>
          <w:trHeight w:val="300"/>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51D1E129"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Demand</w:t>
            </w:r>
          </w:p>
        </w:tc>
        <w:tc>
          <w:tcPr>
            <w:tcW w:w="900" w:type="dxa"/>
            <w:tcBorders>
              <w:top w:val="single" w:sz="4" w:space="0" w:color="000000"/>
              <w:left w:val="single" w:sz="4" w:space="0" w:color="000000"/>
              <w:bottom w:val="single" w:sz="4" w:space="0" w:color="000000"/>
              <w:right w:val="single" w:sz="4" w:space="0" w:color="000000"/>
            </w:tcBorders>
            <w:vAlign w:val="center"/>
          </w:tcPr>
          <w:p w14:paraId="7BB7B62F" w14:textId="77777777" w:rsidR="00254DF6" w:rsidRPr="00465A26" w:rsidRDefault="00254DF6" w:rsidP="00E21C70">
            <w:pPr>
              <w:pStyle w:val="Body"/>
              <w:keepNext/>
              <w:ind w:firstLine="0"/>
              <w:jc w:val="center"/>
              <w:rPr>
                <w:color w:val="000000"/>
                <w:sz w:val="18"/>
                <w:szCs w:val="18"/>
              </w:rPr>
            </w:pPr>
            <w:r w:rsidRPr="00465A26">
              <w:rPr>
                <w:color w:val="000000"/>
                <w:sz w:val="18"/>
                <w:szCs w:val="18"/>
              </w:rPr>
              <w:t>D</w:t>
            </w:r>
          </w:p>
        </w:tc>
        <w:tc>
          <w:tcPr>
            <w:tcW w:w="3000" w:type="dxa"/>
            <w:tcBorders>
              <w:top w:val="single" w:sz="4" w:space="0" w:color="000000"/>
              <w:left w:val="single" w:sz="4" w:space="0" w:color="000000"/>
              <w:bottom w:val="single" w:sz="4" w:space="0" w:color="000000"/>
              <w:right w:val="single" w:sz="4" w:space="0" w:color="000000"/>
            </w:tcBorders>
            <w:vAlign w:val="center"/>
          </w:tcPr>
          <w:p w14:paraId="51D5368A"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5,478 kg per period</w:t>
            </w:r>
          </w:p>
        </w:tc>
      </w:tr>
      <w:tr w:rsidR="00254DF6" w:rsidRPr="00465A26" w14:paraId="2A8665F5" w14:textId="77777777" w:rsidTr="00E21C70">
        <w:trPr>
          <w:cantSplit/>
          <w:trHeight w:val="300"/>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63539744"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Ordering cost</w:t>
            </w:r>
          </w:p>
        </w:tc>
        <w:tc>
          <w:tcPr>
            <w:tcW w:w="900" w:type="dxa"/>
            <w:tcBorders>
              <w:top w:val="single" w:sz="4" w:space="0" w:color="000000"/>
              <w:left w:val="single" w:sz="4" w:space="0" w:color="000000"/>
              <w:bottom w:val="single" w:sz="4" w:space="0" w:color="000000"/>
              <w:right w:val="single" w:sz="4" w:space="0" w:color="000000"/>
            </w:tcBorders>
            <w:vAlign w:val="center"/>
          </w:tcPr>
          <w:p w14:paraId="18DEF607" w14:textId="77777777" w:rsidR="00254DF6" w:rsidRPr="00465A26" w:rsidRDefault="00254DF6" w:rsidP="00E21C70">
            <w:pPr>
              <w:pStyle w:val="Body"/>
              <w:keepNext/>
              <w:ind w:firstLine="0"/>
              <w:jc w:val="center"/>
              <w:rPr>
                <w:color w:val="000000"/>
                <w:sz w:val="18"/>
                <w:szCs w:val="18"/>
              </w:rPr>
            </w:pPr>
            <w:r w:rsidRPr="00465A26">
              <w:rPr>
                <w:color w:val="000000"/>
                <w:sz w:val="18"/>
                <w:szCs w:val="18"/>
              </w:rPr>
              <w:t>S</w:t>
            </w:r>
          </w:p>
        </w:tc>
        <w:tc>
          <w:tcPr>
            <w:tcW w:w="3000" w:type="dxa"/>
            <w:tcBorders>
              <w:top w:val="single" w:sz="4" w:space="0" w:color="000000"/>
              <w:left w:val="single" w:sz="4" w:space="0" w:color="000000"/>
              <w:bottom w:val="single" w:sz="4" w:space="0" w:color="000000"/>
              <w:right w:val="single" w:sz="4" w:space="0" w:color="000000"/>
            </w:tcBorders>
            <w:vAlign w:val="center"/>
          </w:tcPr>
          <w:p w14:paraId="3C913AB7"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IDR 74,113 per order</w:t>
            </w:r>
          </w:p>
        </w:tc>
      </w:tr>
      <w:tr w:rsidR="00254DF6" w:rsidRPr="00465A26" w14:paraId="7F249043" w14:textId="77777777" w:rsidTr="00E21C70">
        <w:trPr>
          <w:cantSplit/>
          <w:trHeight w:val="300"/>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01023BEE"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Holding cost</w:t>
            </w:r>
          </w:p>
        </w:tc>
        <w:tc>
          <w:tcPr>
            <w:tcW w:w="900" w:type="dxa"/>
            <w:tcBorders>
              <w:top w:val="single" w:sz="4" w:space="0" w:color="000000"/>
              <w:left w:val="single" w:sz="4" w:space="0" w:color="000000"/>
              <w:bottom w:val="single" w:sz="4" w:space="0" w:color="000000"/>
              <w:right w:val="single" w:sz="4" w:space="0" w:color="000000"/>
            </w:tcBorders>
            <w:vAlign w:val="center"/>
          </w:tcPr>
          <w:p w14:paraId="4DC1B75B" w14:textId="77777777" w:rsidR="00254DF6" w:rsidRPr="00465A26" w:rsidRDefault="00254DF6" w:rsidP="00E21C70">
            <w:pPr>
              <w:pStyle w:val="Body"/>
              <w:keepNext/>
              <w:ind w:firstLine="0"/>
              <w:jc w:val="center"/>
              <w:rPr>
                <w:color w:val="000000"/>
                <w:sz w:val="18"/>
                <w:szCs w:val="18"/>
              </w:rPr>
            </w:pPr>
            <w:r w:rsidRPr="00465A26">
              <w:rPr>
                <w:color w:val="000000"/>
                <w:sz w:val="18"/>
                <w:szCs w:val="18"/>
              </w:rPr>
              <w:t>H</w:t>
            </w:r>
          </w:p>
        </w:tc>
        <w:tc>
          <w:tcPr>
            <w:tcW w:w="3000" w:type="dxa"/>
            <w:tcBorders>
              <w:top w:val="single" w:sz="4" w:space="0" w:color="000000"/>
              <w:left w:val="single" w:sz="4" w:space="0" w:color="000000"/>
              <w:bottom w:val="single" w:sz="4" w:space="0" w:color="000000"/>
              <w:right w:val="single" w:sz="4" w:space="0" w:color="000000"/>
            </w:tcBorders>
            <w:vAlign w:val="center"/>
          </w:tcPr>
          <w:p w14:paraId="1BA40A1C"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IDR 171,547 per period</w:t>
            </w:r>
          </w:p>
        </w:tc>
      </w:tr>
      <w:tr w:rsidR="00254DF6" w:rsidRPr="00465A26" w14:paraId="6002008B" w14:textId="77777777" w:rsidTr="00E21C70">
        <w:trPr>
          <w:cantSplit/>
          <w:trHeight w:val="300"/>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38BF4E1B"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Average daily demand</w:t>
            </w:r>
          </w:p>
        </w:tc>
        <w:tc>
          <w:tcPr>
            <w:tcW w:w="900" w:type="dxa"/>
            <w:tcBorders>
              <w:top w:val="single" w:sz="4" w:space="0" w:color="000000"/>
              <w:left w:val="single" w:sz="4" w:space="0" w:color="000000"/>
              <w:bottom w:val="single" w:sz="4" w:space="0" w:color="000000"/>
              <w:right w:val="single" w:sz="4" w:space="0" w:color="000000"/>
            </w:tcBorders>
            <w:vAlign w:val="center"/>
          </w:tcPr>
          <w:p w14:paraId="1E242DB7" w14:textId="77777777" w:rsidR="00254DF6" w:rsidRPr="00465A26" w:rsidRDefault="00254DF6" w:rsidP="00E21C70">
            <w:pPr>
              <w:pStyle w:val="Body"/>
              <w:keepNext/>
              <w:ind w:firstLine="0"/>
              <w:jc w:val="center"/>
              <w:rPr>
                <w:color w:val="000000"/>
                <w:sz w:val="18"/>
                <w:szCs w:val="18"/>
              </w:rPr>
            </w:pPr>
            <w:r w:rsidRPr="00465A26">
              <w:rPr>
                <w:color w:val="000000"/>
                <w:sz w:val="18"/>
                <w:szCs w:val="18"/>
              </w:rPr>
              <w:t>d</w:t>
            </w:r>
          </w:p>
        </w:tc>
        <w:tc>
          <w:tcPr>
            <w:tcW w:w="3000" w:type="dxa"/>
            <w:tcBorders>
              <w:top w:val="single" w:sz="4" w:space="0" w:color="000000"/>
              <w:left w:val="single" w:sz="4" w:space="0" w:color="000000"/>
              <w:bottom w:val="single" w:sz="4" w:space="0" w:color="000000"/>
              <w:right w:val="single" w:sz="4" w:space="0" w:color="000000"/>
            </w:tcBorders>
            <w:vAlign w:val="center"/>
          </w:tcPr>
          <w:p w14:paraId="6CFA7907"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16.7 kg per day</w:t>
            </w:r>
          </w:p>
        </w:tc>
      </w:tr>
      <w:tr w:rsidR="00254DF6" w:rsidRPr="00465A26" w14:paraId="694A6EEE" w14:textId="77777777" w:rsidTr="00E21C70">
        <w:trPr>
          <w:cantSplit/>
          <w:trHeight w:val="300"/>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47DBD034"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Standard deviation of daily demand</w:t>
            </w:r>
          </w:p>
        </w:tc>
        <w:tc>
          <w:tcPr>
            <w:tcW w:w="900" w:type="dxa"/>
            <w:tcBorders>
              <w:top w:val="single" w:sz="4" w:space="0" w:color="000000"/>
              <w:left w:val="single" w:sz="4" w:space="0" w:color="000000"/>
              <w:bottom w:val="single" w:sz="4" w:space="0" w:color="000000"/>
              <w:right w:val="single" w:sz="4" w:space="0" w:color="000000"/>
            </w:tcBorders>
            <w:vAlign w:val="center"/>
          </w:tcPr>
          <w:p w14:paraId="56CF3075" w14:textId="77777777" w:rsidR="00254DF6" w:rsidRPr="00465A26" w:rsidRDefault="00254DF6" w:rsidP="00E21C70">
            <w:pPr>
              <w:pStyle w:val="Body"/>
              <w:keepNext/>
              <w:ind w:firstLine="0"/>
              <w:jc w:val="center"/>
              <w:rPr>
                <w:color w:val="000000"/>
                <w:sz w:val="18"/>
                <w:szCs w:val="18"/>
              </w:rPr>
            </w:pPr>
            <w:r w:rsidRPr="00465A26">
              <w:rPr>
                <w:color w:val="000000"/>
                <w:sz w:val="18"/>
                <w:szCs w:val="18"/>
              </w:rPr>
              <w:t>σ</w:t>
            </w:r>
          </w:p>
        </w:tc>
        <w:tc>
          <w:tcPr>
            <w:tcW w:w="3000" w:type="dxa"/>
            <w:tcBorders>
              <w:top w:val="single" w:sz="4" w:space="0" w:color="000000"/>
              <w:left w:val="single" w:sz="4" w:space="0" w:color="000000"/>
              <w:bottom w:val="single" w:sz="4" w:space="0" w:color="000000"/>
              <w:right w:val="single" w:sz="4" w:space="0" w:color="000000"/>
            </w:tcBorders>
            <w:vAlign w:val="center"/>
          </w:tcPr>
          <w:p w14:paraId="6582E2FA"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14.4 kg per day</w:t>
            </w:r>
          </w:p>
        </w:tc>
      </w:tr>
      <w:tr w:rsidR="00254DF6" w:rsidRPr="00465A26" w14:paraId="026F55B5" w14:textId="77777777" w:rsidTr="00E21C70">
        <w:trPr>
          <w:cantSplit/>
          <w:trHeight w:val="300"/>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678E7FB1"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Lead time</w:t>
            </w:r>
          </w:p>
        </w:tc>
        <w:tc>
          <w:tcPr>
            <w:tcW w:w="900" w:type="dxa"/>
            <w:tcBorders>
              <w:top w:val="single" w:sz="4" w:space="0" w:color="000000"/>
              <w:left w:val="single" w:sz="4" w:space="0" w:color="000000"/>
              <w:bottom w:val="single" w:sz="4" w:space="0" w:color="000000"/>
              <w:right w:val="single" w:sz="4" w:space="0" w:color="000000"/>
            </w:tcBorders>
            <w:vAlign w:val="center"/>
          </w:tcPr>
          <w:p w14:paraId="60C5A455" w14:textId="77777777" w:rsidR="00254DF6" w:rsidRPr="00465A26" w:rsidRDefault="00254DF6" w:rsidP="00E21C70">
            <w:pPr>
              <w:pStyle w:val="Body"/>
              <w:keepNext/>
              <w:ind w:firstLine="0"/>
              <w:jc w:val="center"/>
              <w:rPr>
                <w:color w:val="000000"/>
                <w:sz w:val="18"/>
                <w:szCs w:val="18"/>
              </w:rPr>
            </w:pPr>
            <w:r w:rsidRPr="00465A26">
              <w:rPr>
                <w:color w:val="000000"/>
                <w:sz w:val="18"/>
                <w:szCs w:val="18"/>
              </w:rPr>
              <w:t>L</w:t>
            </w:r>
          </w:p>
        </w:tc>
        <w:tc>
          <w:tcPr>
            <w:tcW w:w="3000" w:type="dxa"/>
            <w:tcBorders>
              <w:top w:val="single" w:sz="4" w:space="0" w:color="000000"/>
              <w:left w:val="single" w:sz="4" w:space="0" w:color="000000"/>
              <w:bottom w:val="single" w:sz="4" w:space="0" w:color="000000"/>
              <w:right w:val="single" w:sz="4" w:space="0" w:color="000000"/>
            </w:tcBorders>
            <w:vAlign w:val="center"/>
          </w:tcPr>
          <w:p w14:paraId="193E3476"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1 day</w:t>
            </w:r>
          </w:p>
        </w:tc>
      </w:tr>
      <w:tr w:rsidR="00254DF6" w:rsidRPr="00465A26" w14:paraId="6BB8B778" w14:textId="77777777" w:rsidTr="00E21C70">
        <w:trPr>
          <w:cantSplit/>
          <w:trHeight w:val="300"/>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0437B522"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Service level</w:t>
            </w:r>
          </w:p>
        </w:tc>
        <w:tc>
          <w:tcPr>
            <w:tcW w:w="900" w:type="dxa"/>
            <w:tcBorders>
              <w:top w:val="single" w:sz="4" w:space="0" w:color="000000"/>
              <w:left w:val="single" w:sz="4" w:space="0" w:color="000000"/>
              <w:bottom w:val="single" w:sz="4" w:space="0" w:color="000000"/>
              <w:right w:val="single" w:sz="4" w:space="0" w:color="000000"/>
            </w:tcBorders>
            <w:vAlign w:val="center"/>
          </w:tcPr>
          <w:p w14:paraId="682C8B8E" w14:textId="77777777" w:rsidR="00254DF6" w:rsidRPr="00465A26" w:rsidRDefault="00254DF6" w:rsidP="00E21C70">
            <w:pPr>
              <w:pStyle w:val="Body"/>
              <w:keepNext/>
              <w:ind w:firstLine="0"/>
              <w:jc w:val="center"/>
              <w:rPr>
                <w:color w:val="000000"/>
                <w:sz w:val="18"/>
                <w:szCs w:val="18"/>
              </w:rPr>
            </w:pPr>
            <w:r w:rsidRPr="00465A26">
              <w:rPr>
                <w:color w:val="000000"/>
                <w:sz w:val="18"/>
                <w:szCs w:val="18"/>
              </w:rPr>
              <w:t>Z</w:t>
            </w:r>
          </w:p>
        </w:tc>
        <w:tc>
          <w:tcPr>
            <w:tcW w:w="3000" w:type="dxa"/>
            <w:tcBorders>
              <w:top w:val="single" w:sz="4" w:space="0" w:color="000000"/>
              <w:left w:val="single" w:sz="4" w:space="0" w:color="000000"/>
              <w:bottom w:val="single" w:sz="4" w:space="0" w:color="000000"/>
              <w:right w:val="single" w:sz="4" w:space="0" w:color="000000"/>
            </w:tcBorders>
            <w:vAlign w:val="center"/>
          </w:tcPr>
          <w:p w14:paraId="0FF2ABE2"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95% (Z = 1.65)</w:t>
            </w:r>
          </w:p>
        </w:tc>
      </w:tr>
      <w:tr w:rsidR="00254DF6" w:rsidRPr="00465A26" w14:paraId="5C023D41" w14:textId="77777777" w:rsidTr="00E21C70">
        <w:trPr>
          <w:cantSplit/>
          <w:trHeight w:val="300"/>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2863638B"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Unit price and discount</w:t>
            </w:r>
          </w:p>
        </w:tc>
        <w:tc>
          <w:tcPr>
            <w:tcW w:w="900" w:type="dxa"/>
            <w:tcBorders>
              <w:top w:val="single" w:sz="4" w:space="0" w:color="000000"/>
              <w:left w:val="single" w:sz="4" w:space="0" w:color="000000"/>
              <w:bottom w:val="single" w:sz="4" w:space="0" w:color="000000"/>
              <w:right w:val="single" w:sz="4" w:space="0" w:color="000000"/>
            </w:tcBorders>
            <w:vAlign w:val="center"/>
          </w:tcPr>
          <w:p w14:paraId="07EE832C" w14:textId="77777777" w:rsidR="00254DF6" w:rsidRPr="00465A26" w:rsidRDefault="00254DF6" w:rsidP="00E21C70">
            <w:pPr>
              <w:pStyle w:val="Body"/>
              <w:keepNext/>
              <w:ind w:firstLine="0"/>
              <w:jc w:val="center"/>
              <w:rPr>
                <w:color w:val="000000"/>
                <w:sz w:val="18"/>
                <w:szCs w:val="18"/>
              </w:rPr>
            </w:pPr>
            <w:r w:rsidRPr="00465A26">
              <w:rPr>
                <w:color w:val="000000"/>
                <w:sz w:val="18"/>
                <w:szCs w:val="18"/>
              </w:rPr>
              <w:t>P</w:t>
            </w:r>
          </w:p>
        </w:tc>
        <w:tc>
          <w:tcPr>
            <w:tcW w:w="3000" w:type="dxa"/>
            <w:tcBorders>
              <w:top w:val="single" w:sz="4" w:space="0" w:color="000000"/>
              <w:left w:val="single" w:sz="4" w:space="0" w:color="000000"/>
              <w:bottom w:val="single" w:sz="4" w:space="0" w:color="000000"/>
              <w:right w:val="single" w:sz="4" w:space="0" w:color="000000"/>
            </w:tcBorders>
            <w:vAlign w:val="center"/>
          </w:tcPr>
          <w:p w14:paraId="642AE0E2"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IDR 10,500/kg; discount of IDR 1,000/kg for Q ≥ 50 kg, limited to IDR 20,000 per order</w:t>
            </w:r>
          </w:p>
        </w:tc>
      </w:tr>
      <w:tr w:rsidR="00254DF6" w:rsidRPr="00465A26" w14:paraId="092EC737" w14:textId="77777777" w:rsidTr="00E21C70">
        <w:trPr>
          <w:cantSplit/>
          <w:trHeight w:val="300"/>
          <w:jc w:val="center"/>
        </w:trPr>
        <w:tc>
          <w:tcPr>
            <w:tcW w:w="3100" w:type="dxa"/>
            <w:tcBorders>
              <w:top w:val="single" w:sz="4" w:space="0" w:color="000000"/>
              <w:left w:val="single" w:sz="4" w:space="0" w:color="000000"/>
              <w:bottom w:val="single" w:sz="4" w:space="0" w:color="000000"/>
              <w:right w:val="single" w:sz="4" w:space="0" w:color="000000"/>
            </w:tcBorders>
            <w:vAlign w:val="center"/>
          </w:tcPr>
          <w:p w14:paraId="5CF4C9D1"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Storage capacity</w:t>
            </w:r>
          </w:p>
        </w:tc>
        <w:tc>
          <w:tcPr>
            <w:tcW w:w="900" w:type="dxa"/>
            <w:tcBorders>
              <w:top w:val="single" w:sz="4" w:space="0" w:color="000000"/>
              <w:left w:val="single" w:sz="4" w:space="0" w:color="000000"/>
              <w:bottom w:val="single" w:sz="4" w:space="0" w:color="000000"/>
              <w:right w:val="single" w:sz="4" w:space="0" w:color="000000"/>
            </w:tcBorders>
            <w:vAlign w:val="center"/>
          </w:tcPr>
          <w:p w14:paraId="35EF43A6" w14:textId="77777777" w:rsidR="00254DF6" w:rsidRPr="00465A26" w:rsidRDefault="00254DF6" w:rsidP="00E21C70">
            <w:pPr>
              <w:pStyle w:val="Body"/>
              <w:keepNext/>
              <w:ind w:firstLine="0"/>
              <w:jc w:val="center"/>
              <w:rPr>
                <w:color w:val="000000"/>
                <w:sz w:val="18"/>
                <w:szCs w:val="18"/>
              </w:rPr>
            </w:pPr>
            <w:r w:rsidRPr="00465A26">
              <w:rPr>
                <w:color w:val="000000"/>
                <w:sz w:val="18"/>
                <w:szCs w:val="18"/>
              </w:rPr>
              <w:t>–</w:t>
            </w:r>
          </w:p>
        </w:tc>
        <w:tc>
          <w:tcPr>
            <w:tcW w:w="3000" w:type="dxa"/>
            <w:tcBorders>
              <w:top w:val="single" w:sz="4" w:space="0" w:color="000000"/>
              <w:left w:val="single" w:sz="4" w:space="0" w:color="000000"/>
              <w:bottom w:val="single" w:sz="4" w:space="0" w:color="000000"/>
              <w:right w:val="single" w:sz="4" w:space="0" w:color="000000"/>
            </w:tcBorders>
            <w:vAlign w:val="center"/>
          </w:tcPr>
          <w:p w14:paraId="37030049" w14:textId="77777777" w:rsidR="00254DF6" w:rsidRPr="00465A26" w:rsidRDefault="00254DF6" w:rsidP="00E21C70">
            <w:pPr>
              <w:pStyle w:val="Body"/>
              <w:keepNext/>
              <w:ind w:firstLine="0"/>
              <w:jc w:val="left"/>
              <w:rPr>
                <w:color w:val="000000"/>
                <w:sz w:val="18"/>
                <w:szCs w:val="18"/>
              </w:rPr>
            </w:pPr>
            <w:r w:rsidRPr="00465A26">
              <w:rPr>
                <w:color w:val="000000"/>
                <w:sz w:val="18"/>
                <w:szCs w:val="18"/>
              </w:rPr>
              <w:t>100 kg</w:t>
            </w:r>
          </w:p>
        </w:tc>
      </w:tr>
    </w:tbl>
    <w:p w14:paraId="629D4286" w14:textId="77777777" w:rsidR="00254DF6" w:rsidRPr="00F90251" w:rsidRDefault="00254DF6" w:rsidP="0003786E">
      <w:pPr>
        <w:pStyle w:val="Body"/>
        <w:spacing w:after="240"/>
        <w:ind w:left="357" w:right="357" w:firstLine="0"/>
        <w:jc w:val="center"/>
        <w:rPr>
          <w:sz w:val="18"/>
          <w:szCs w:val="18"/>
        </w:rPr>
      </w:pPr>
      <w:r w:rsidRPr="00F90251">
        <w:rPr>
          <w:color w:val="000000"/>
          <w:sz w:val="18"/>
          <w:szCs w:val="18"/>
        </w:rPr>
        <w:t>Note: d = D/328 working days; σ = standard deviation of monthly usage (432 kg) divided by 30 days.</w:t>
      </w:r>
    </w:p>
    <w:p w14:paraId="460DFBB3" w14:textId="77777777" w:rsidR="00254DF6" w:rsidRPr="003D7A01" w:rsidRDefault="00254DF6" w:rsidP="00465A26">
      <w:pPr>
        <w:pStyle w:val="BodyText"/>
        <w:spacing w:after="0" w:line="276" w:lineRule="auto"/>
        <w:ind w:firstLine="567"/>
      </w:pPr>
      <w:r w:rsidRPr="003D7A01">
        <w:rPr>
          <w:rFonts w:eastAsia="Times New Roman"/>
          <w:sz w:val="20"/>
        </w:rPr>
        <w:t>Table 9 shows that Q* responds moderately to changes in D, S, and H. Since Q* varies with the square root of these parameters, a 20% change moves the optimal quantity by roughly 10%, from 62 to 75 kg for D and S and from 63 to 77 kg for H. The ordering frequency stays between 71 and 89 orders per period, against 80 in the base case and 141 in the existing pattern, and Q* remains above the 50 kg discount threshold in every case. The maximum stock stays within the 100 kg capacity except when H is 20% lower, where it reaches 100.8 kg. The reorder point, which depends on D through the daily demand, ranges from 37 to 44 kg when D changes by ±20%.</w:t>
      </w:r>
    </w:p>
    <w:p w14:paraId="217DE6E2" w14:textId="77777777" w:rsidR="00254DF6" w:rsidRPr="00F90251" w:rsidRDefault="00254DF6" w:rsidP="0003786E">
      <w:pPr>
        <w:pStyle w:val="tablehead"/>
        <w:keepNext/>
        <w:numPr>
          <w:ilvl w:val="0"/>
          <w:numId w:val="0"/>
        </w:numPr>
        <w:spacing w:before="120"/>
        <w:ind w:left="357"/>
        <w:rPr>
          <w:rFonts w:ascii="Times New Roman" w:hAnsi="Times New Roman"/>
        </w:rPr>
      </w:pPr>
      <w:r w:rsidRPr="00F90251">
        <w:rPr>
          <w:rFonts w:ascii="Times New Roman" w:hAnsi="Times New Roman"/>
          <w:b/>
          <w:bCs/>
        </w:rPr>
        <w:t xml:space="preserve">Table 9. </w:t>
      </w:r>
      <w:r w:rsidRPr="00F90251">
        <w:rPr>
          <w:rFonts w:ascii="Times New Roman" w:hAnsi="Times New Roman"/>
        </w:rPr>
        <w:t>Sensitivity of the Order Policy to Demand, Ordering Cost, Holding Cost, and Discount Limit</w:t>
      </w:r>
    </w:p>
    <w:tbl>
      <w:tblPr>
        <w:tblW w:w="7620" w:type="dxa"/>
        <w:jc w:val="center"/>
        <w:tblLayout w:type="fixed"/>
        <w:tblLook w:val="04A0" w:firstRow="1" w:lastRow="0" w:firstColumn="1" w:lastColumn="0" w:noHBand="0" w:noVBand="1"/>
      </w:tblPr>
      <w:tblGrid>
        <w:gridCol w:w="1450"/>
        <w:gridCol w:w="820"/>
        <w:gridCol w:w="700"/>
        <w:gridCol w:w="700"/>
        <w:gridCol w:w="1050"/>
        <w:gridCol w:w="850"/>
        <w:gridCol w:w="1050"/>
        <w:gridCol w:w="1000"/>
      </w:tblGrid>
      <w:tr w:rsidR="00254DF6" w:rsidRPr="00F90251" w14:paraId="215F00F5" w14:textId="77777777" w:rsidTr="00E21C70">
        <w:trPr>
          <w:cantSplit/>
          <w:trHeight w:val="420"/>
          <w:tblHeader/>
          <w:jc w:val="center"/>
        </w:trPr>
        <w:tc>
          <w:tcPr>
            <w:tcW w:w="1450" w:type="dxa"/>
            <w:tcBorders>
              <w:top w:val="single" w:sz="4" w:space="0" w:color="000000"/>
              <w:left w:val="single" w:sz="4" w:space="0" w:color="000000"/>
              <w:bottom w:val="single" w:sz="4" w:space="0" w:color="000000"/>
              <w:right w:val="single" w:sz="4" w:space="0" w:color="000000"/>
            </w:tcBorders>
            <w:vAlign w:val="center"/>
          </w:tcPr>
          <w:p w14:paraId="760F324E"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Parameter</w:t>
            </w:r>
          </w:p>
        </w:tc>
        <w:tc>
          <w:tcPr>
            <w:tcW w:w="820" w:type="dxa"/>
            <w:tcBorders>
              <w:top w:val="single" w:sz="4" w:space="0" w:color="000000"/>
              <w:left w:val="single" w:sz="4" w:space="0" w:color="000000"/>
              <w:bottom w:val="single" w:sz="4" w:space="0" w:color="000000"/>
              <w:right w:val="single" w:sz="4" w:space="0" w:color="000000"/>
            </w:tcBorders>
            <w:vAlign w:val="center"/>
          </w:tcPr>
          <w:p w14:paraId="4009E21B"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Change</w:t>
            </w:r>
          </w:p>
        </w:tc>
        <w:tc>
          <w:tcPr>
            <w:tcW w:w="700" w:type="dxa"/>
            <w:tcBorders>
              <w:top w:val="single" w:sz="4" w:space="0" w:color="000000"/>
              <w:left w:val="single" w:sz="4" w:space="0" w:color="000000"/>
              <w:bottom w:val="single" w:sz="4" w:space="0" w:color="000000"/>
              <w:right w:val="single" w:sz="4" w:space="0" w:color="000000"/>
            </w:tcBorders>
            <w:vAlign w:val="center"/>
          </w:tcPr>
          <w:p w14:paraId="563404BE"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Q* (kg)</w:t>
            </w:r>
          </w:p>
        </w:tc>
        <w:tc>
          <w:tcPr>
            <w:tcW w:w="700" w:type="dxa"/>
            <w:tcBorders>
              <w:top w:val="single" w:sz="4" w:space="0" w:color="000000"/>
              <w:left w:val="single" w:sz="4" w:space="0" w:color="000000"/>
              <w:bottom w:val="single" w:sz="4" w:space="0" w:color="000000"/>
              <w:right w:val="single" w:sz="4" w:space="0" w:color="000000"/>
            </w:tcBorders>
            <w:vAlign w:val="center"/>
          </w:tcPr>
          <w:p w14:paraId="24A6CC2F"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FP (times)</w:t>
            </w:r>
          </w:p>
        </w:tc>
        <w:tc>
          <w:tcPr>
            <w:tcW w:w="1050" w:type="dxa"/>
            <w:tcBorders>
              <w:top w:val="single" w:sz="4" w:space="0" w:color="000000"/>
              <w:left w:val="single" w:sz="4" w:space="0" w:color="000000"/>
              <w:bottom w:val="single" w:sz="4" w:space="0" w:color="000000"/>
              <w:right w:val="single" w:sz="4" w:space="0" w:color="000000"/>
            </w:tcBorders>
            <w:vAlign w:val="center"/>
          </w:tcPr>
          <w:p w14:paraId="2DF3F4C7"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TIC (thousand IDR)</w:t>
            </w:r>
          </w:p>
        </w:tc>
        <w:tc>
          <w:tcPr>
            <w:tcW w:w="850" w:type="dxa"/>
            <w:tcBorders>
              <w:top w:val="single" w:sz="4" w:space="0" w:color="000000"/>
              <w:left w:val="single" w:sz="4" w:space="0" w:color="000000"/>
              <w:bottom w:val="single" w:sz="4" w:space="0" w:color="000000"/>
              <w:right w:val="single" w:sz="4" w:space="0" w:color="000000"/>
            </w:tcBorders>
            <w:vAlign w:val="center"/>
          </w:tcPr>
          <w:p w14:paraId="030237A2"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ΔTIC (%)</w:t>
            </w:r>
          </w:p>
        </w:tc>
        <w:tc>
          <w:tcPr>
            <w:tcW w:w="1050" w:type="dxa"/>
            <w:tcBorders>
              <w:top w:val="single" w:sz="4" w:space="0" w:color="000000"/>
              <w:left w:val="single" w:sz="4" w:space="0" w:color="000000"/>
              <w:bottom w:val="single" w:sz="4" w:space="0" w:color="000000"/>
              <w:right w:val="single" w:sz="4" w:space="0" w:color="000000"/>
            </w:tcBorders>
            <w:vAlign w:val="center"/>
          </w:tcPr>
          <w:p w14:paraId="071D0451"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Saving vs. existing (%)</w:t>
            </w:r>
          </w:p>
        </w:tc>
        <w:tc>
          <w:tcPr>
            <w:tcW w:w="1000" w:type="dxa"/>
            <w:tcBorders>
              <w:top w:val="single" w:sz="4" w:space="0" w:color="000000"/>
              <w:left w:val="single" w:sz="4" w:space="0" w:color="000000"/>
              <w:bottom w:val="single" w:sz="4" w:space="0" w:color="000000"/>
              <w:right w:val="single" w:sz="4" w:space="0" w:color="000000"/>
            </w:tcBorders>
            <w:vAlign w:val="center"/>
          </w:tcPr>
          <w:p w14:paraId="7F3B4F52"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Q* + SS (kg)</w:t>
            </w:r>
          </w:p>
        </w:tc>
      </w:tr>
      <w:tr w:rsidR="00254DF6" w:rsidRPr="00F90251" w14:paraId="4ABD7DC2" w14:textId="77777777" w:rsidTr="00E21C70">
        <w:trPr>
          <w:cantSplit/>
          <w:trHeight w:val="300"/>
          <w:jc w:val="center"/>
        </w:trPr>
        <w:tc>
          <w:tcPr>
            <w:tcW w:w="1450" w:type="dxa"/>
            <w:tcBorders>
              <w:top w:val="single" w:sz="4" w:space="0" w:color="000000"/>
              <w:left w:val="single" w:sz="4" w:space="0" w:color="000000"/>
              <w:bottom w:val="single" w:sz="4" w:space="0" w:color="000000"/>
              <w:right w:val="single" w:sz="4" w:space="0" w:color="000000"/>
            </w:tcBorders>
            <w:vAlign w:val="center"/>
          </w:tcPr>
          <w:p w14:paraId="54B46B3A" w14:textId="77777777" w:rsidR="00254DF6" w:rsidRPr="00F90251" w:rsidRDefault="00254DF6" w:rsidP="00E21C70">
            <w:pPr>
              <w:pStyle w:val="Body"/>
              <w:keepNext/>
              <w:ind w:firstLine="0"/>
              <w:jc w:val="left"/>
              <w:rPr>
                <w:b/>
                <w:bCs/>
                <w:color w:val="000000"/>
                <w:sz w:val="18"/>
                <w:szCs w:val="18"/>
              </w:rPr>
            </w:pPr>
            <w:r w:rsidRPr="00F90251">
              <w:rPr>
                <w:b/>
                <w:bCs/>
                <w:color w:val="000000"/>
                <w:sz w:val="18"/>
                <w:szCs w:val="18"/>
              </w:rPr>
              <w:t>Base case</w:t>
            </w:r>
          </w:p>
        </w:tc>
        <w:tc>
          <w:tcPr>
            <w:tcW w:w="820" w:type="dxa"/>
            <w:tcBorders>
              <w:top w:val="single" w:sz="4" w:space="0" w:color="000000"/>
              <w:left w:val="single" w:sz="4" w:space="0" w:color="000000"/>
              <w:bottom w:val="single" w:sz="4" w:space="0" w:color="000000"/>
              <w:right w:val="single" w:sz="4" w:space="0" w:color="000000"/>
            </w:tcBorders>
            <w:vAlign w:val="center"/>
          </w:tcPr>
          <w:p w14:paraId="28828110"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tcPr>
          <w:p w14:paraId="319E195B"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69</w:t>
            </w:r>
          </w:p>
        </w:tc>
        <w:tc>
          <w:tcPr>
            <w:tcW w:w="700" w:type="dxa"/>
            <w:tcBorders>
              <w:top w:val="single" w:sz="4" w:space="0" w:color="000000"/>
              <w:left w:val="single" w:sz="4" w:space="0" w:color="000000"/>
              <w:bottom w:val="single" w:sz="4" w:space="0" w:color="000000"/>
              <w:right w:val="single" w:sz="4" w:space="0" w:color="000000"/>
            </w:tcBorders>
            <w:vAlign w:val="center"/>
          </w:tcPr>
          <w:p w14:paraId="193F8A08"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80</w:t>
            </w:r>
          </w:p>
        </w:tc>
        <w:tc>
          <w:tcPr>
            <w:tcW w:w="1050" w:type="dxa"/>
            <w:tcBorders>
              <w:top w:val="single" w:sz="4" w:space="0" w:color="000000"/>
              <w:left w:val="single" w:sz="4" w:space="0" w:color="000000"/>
              <w:bottom w:val="single" w:sz="4" w:space="0" w:color="000000"/>
              <w:right w:val="single" w:sz="4" w:space="0" w:color="000000"/>
            </w:tcBorders>
            <w:vAlign w:val="center"/>
          </w:tcPr>
          <w:p w14:paraId="359F23CF"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62,030</w:t>
            </w:r>
          </w:p>
        </w:tc>
        <w:tc>
          <w:tcPr>
            <w:tcW w:w="850" w:type="dxa"/>
            <w:tcBorders>
              <w:top w:val="single" w:sz="4" w:space="0" w:color="000000"/>
              <w:left w:val="single" w:sz="4" w:space="0" w:color="000000"/>
              <w:bottom w:val="single" w:sz="4" w:space="0" w:color="000000"/>
              <w:right w:val="single" w:sz="4" w:space="0" w:color="000000"/>
            </w:tcBorders>
            <w:vAlign w:val="center"/>
          </w:tcPr>
          <w:p w14:paraId="352D79F1"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0.0</w:t>
            </w:r>
          </w:p>
        </w:tc>
        <w:tc>
          <w:tcPr>
            <w:tcW w:w="1050" w:type="dxa"/>
            <w:tcBorders>
              <w:top w:val="single" w:sz="4" w:space="0" w:color="000000"/>
              <w:left w:val="single" w:sz="4" w:space="0" w:color="000000"/>
              <w:bottom w:val="single" w:sz="4" w:space="0" w:color="000000"/>
              <w:right w:val="single" w:sz="4" w:space="0" w:color="000000"/>
            </w:tcBorders>
            <w:vAlign w:val="center"/>
          </w:tcPr>
          <w:p w14:paraId="2CABDFCE"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7.6</w:t>
            </w:r>
          </w:p>
        </w:tc>
        <w:tc>
          <w:tcPr>
            <w:tcW w:w="1000" w:type="dxa"/>
            <w:tcBorders>
              <w:top w:val="single" w:sz="4" w:space="0" w:color="000000"/>
              <w:left w:val="single" w:sz="4" w:space="0" w:color="000000"/>
              <w:bottom w:val="single" w:sz="4" w:space="0" w:color="000000"/>
              <w:right w:val="single" w:sz="4" w:space="0" w:color="000000"/>
            </w:tcBorders>
            <w:vAlign w:val="center"/>
          </w:tcPr>
          <w:p w14:paraId="58B59FBA"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92.8</w:t>
            </w:r>
          </w:p>
        </w:tc>
      </w:tr>
      <w:tr w:rsidR="00254DF6" w:rsidRPr="00F90251" w14:paraId="3C39CC81" w14:textId="77777777" w:rsidTr="00E21C70">
        <w:trPr>
          <w:cantSplit/>
          <w:trHeight w:val="300"/>
          <w:jc w:val="center"/>
        </w:trPr>
        <w:tc>
          <w:tcPr>
            <w:tcW w:w="1450" w:type="dxa"/>
            <w:vMerge w:val="restart"/>
            <w:tcBorders>
              <w:top w:val="single" w:sz="4" w:space="0" w:color="000000"/>
              <w:left w:val="single" w:sz="4" w:space="0" w:color="000000"/>
              <w:bottom w:val="single" w:sz="4" w:space="0" w:color="000000"/>
              <w:right w:val="single" w:sz="4" w:space="0" w:color="000000"/>
            </w:tcBorders>
            <w:vAlign w:val="center"/>
          </w:tcPr>
          <w:p w14:paraId="628E577D" w14:textId="77777777" w:rsidR="00254DF6" w:rsidRPr="00F90251" w:rsidRDefault="00254DF6" w:rsidP="00E21C70">
            <w:pPr>
              <w:pStyle w:val="Body"/>
              <w:keepNext/>
              <w:ind w:firstLine="0"/>
              <w:jc w:val="left"/>
              <w:rPr>
                <w:color w:val="000000"/>
                <w:sz w:val="18"/>
                <w:szCs w:val="18"/>
              </w:rPr>
            </w:pPr>
            <w:r w:rsidRPr="00F90251">
              <w:rPr>
                <w:color w:val="000000"/>
                <w:sz w:val="18"/>
                <w:szCs w:val="18"/>
              </w:rPr>
              <w:t>Demand (D)</w:t>
            </w:r>
          </w:p>
        </w:tc>
        <w:tc>
          <w:tcPr>
            <w:tcW w:w="820" w:type="dxa"/>
            <w:tcBorders>
              <w:top w:val="single" w:sz="4" w:space="0" w:color="000000"/>
              <w:left w:val="single" w:sz="4" w:space="0" w:color="000000"/>
              <w:bottom w:val="single" w:sz="4" w:space="0" w:color="000000"/>
              <w:right w:val="single" w:sz="4" w:space="0" w:color="000000"/>
            </w:tcBorders>
            <w:vAlign w:val="center"/>
          </w:tcPr>
          <w:p w14:paraId="09BF325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−20%</w:t>
            </w:r>
          </w:p>
        </w:tc>
        <w:tc>
          <w:tcPr>
            <w:tcW w:w="700" w:type="dxa"/>
            <w:tcBorders>
              <w:top w:val="single" w:sz="4" w:space="0" w:color="000000"/>
              <w:left w:val="single" w:sz="4" w:space="0" w:color="000000"/>
              <w:bottom w:val="single" w:sz="4" w:space="0" w:color="000000"/>
              <w:right w:val="single" w:sz="4" w:space="0" w:color="000000"/>
            </w:tcBorders>
            <w:vAlign w:val="center"/>
          </w:tcPr>
          <w:p w14:paraId="06FB554E"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62</w:t>
            </w:r>
          </w:p>
        </w:tc>
        <w:tc>
          <w:tcPr>
            <w:tcW w:w="700" w:type="dxa"/>
            <w:tcBorders>
              <w:top w:val="single" w:sz="4" w:space="0" w:color="000000"/>
              <w:left w:val="single" w:sz="4" w:space="0" w:color="000000"/>
              <w:bottom w:val="single" w:sz="4" w:space="0" w:color="000000"/>
              <w:right w:val="single" w:sz="4" w:space="0" w:color="000000"/>
            </w:tcBorders>
            <w:vAlign w:val="center"/>
          </w:tcPr>
          <w:p w14:paraId="7304440F"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71</w:t>
            </w:r>
          </w:p>
        </w:tc>
        <w:tc>
          <w:tcPr>
            <w:tcW w:w="1050" w:type="dxa"/>
            <w:tcBorders>
              <w:top w:val="single" w:sz="4" w:space="0" w:color="000000"/>
              <w:left w:val="single" w:sz="4" w:space="0" w:color="000000"/>
              <w:bottom w:val="single" w:sz="4" w:space="0" w:color="000000"/>
              <w:right w:val="single" w:sz="4" w:space="0" w:color="000000"/>
            </w:tcBorders>
            <w:vAlign w:val="center"/>
          </w:tcPr>
          <w:p w14:paraId="05B3F28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50,033</w:t>
            </w:r>
          </w:p>
        </w:tc>
        <w:tc>
          <w:tcPr>
            <w:tcW w:w="850" w:type="dxa"/>
            <w:tcBorders>
              <w:top w:val="single" w:sz="4" w:space="0" w:color="000000"/>
              <w:left w:val="single" w:sz="4" w:space="0" w:color="000000"/>
              <w:bottom w:val="single" w:sz="4" w:space="0" w:color="000000"/>
              <w:right w:val="single" w:sz="4" w:space="0" w:color="000000"/>
            </w:tcBorders>
            <w:vAlign w:val="center"/>
          </w:tcPr>
          <w:p w14:paraId="636C0147"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−19.3</w:t>
            </w:r>
          </w:p>
        </w:tc>
        <w:tc>
          <w:tcPr>
            <w:tcW w:w="1050" w:type="dxa"/>
            <w:tcBorders>
              <w:top w:val="single" w:sz="4" w:space="0" w:color="000000"/>
              <w:left w:val="single" w:sz="4" w:space="0" w:color="000000"/>
              <w:bottom w:val="single" w:sz="4" w:space="0" w:color="000000"/>
              <w:right w:val="single" w:sz="4" w:space="0" w:color="000000"/>
            </w:tcBorders>
            <w:vAlign w:val="center"/>
          </w:tcPr>
          <w:p w14:paraId="4179F1A3"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w:t>
            </w:r>
          </w:p>
        </w:tc>
        <w:tc>
          <w:tcPr>
            <w:tcW w:w="1000" w:type="dxa"/>
            <w:tcBorders>
              <w:top w:val="single" w:sz="4" w:space="0" w:color="000000"/>
              <w:left w:val="single" w:sz="4" w:space="0" w:color="000000"/>
              <w:bottom w:val="single" w:sz="4" w:space="0" w:color="000000"/>
              <w:right w:val="single" w:sz="4" w:space="0" w:color="000000"/>
            </w:tcBorders>
            <w:vAlign w:val="center"/>
          </w:tcPr>
          <w:p w14:paraId="7E37C2D1"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85.8</w:t>
            </w:r>
          </w:p>
        </w:tc>
      </w:tr>
      <w:tr w:rsidR="00254DF6" w:rsidRPr="00F90251" w14:paraId="5200972A"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10673F04"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63E9413C"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−10%</w:t>
            </w:r>
          </w:p>
        </w:tc>
        <w:tc>
          <w:tcPr>
            <w:tcW w:w="700" w:type="dxa"/>
            <w:tcBorders>
              <w:top w:val="single" w:sz="4" w:space="0" w:color="000000"/>
              <w:left w:val="single" w:sz="4" w:space="0" w:color="000000"/>
              <w:bottom w:val="single" w:sz="4" w:space="0" w:color="000000"/>
              <w:right w:val="single" w:sz="4" w:space="0" w:color="000000"/>
            </w:tcBorders>
            <w:vAlign w:val="center"/>
          </w:tcPr>
          <w:p w14:paraId="06789143"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65</w:t>
            </w:r>
          </w:p>
        </w:tc>
        <w:tc>
          <w:tcPr>
            <w:tcW w:w="700" w:type="dxa"/>
            <w:tcBorders>
              <w:top w:val="single" w:sz="4" w:space="0" w:color="000000"/>
              <w:left w:val="single" w:sz="4" w:space="0" w:color="000000"/>
              <w:bottom w:val="single" w:sz="4" w:space="0" w:color="000000"/>
              <w:right w:val="single" w:sz="4" w:space="0" w:color="000000"/>
            </w:tcBorders>
            <w:vAlign w:val="center"/>
          </w:tcPr>
          <w:p w14:paraId="5A69717C"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76</w:t>
            </w:r>
          </w:p>
        </w:tc>
        <w:tc>
          <w:tcPr>
            <w:tcW w:w="1050" w:type="dxa"/>
            <w:tcBorders>
              <w:top w:val="single" w:sz="4" w:space="0" w:color="000000"/>
              <w:left w:val="single" w:sz="4" w:space="0" w:color="000000"/>
              <w:bottom w:val="single" w:sz="4" w:space="0" w:color="000000"/>
              <w:right w:val="single" w:sz="4" w:space="0" w:color="000000"/>
            </w:tcBorders>
            <w:vAlign w:val="center"/>
          </w:tcPr>
          <w:p w14:paraId="1A337A17"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56,052</w:t>
            </w:r>
          </w:p>
        </w:tc>
        <w:tc>
          <w:tcPr>
            <w:tcW w:w="850" w:type="dxa"/>
            <w:tcBorders>
              <w:top w:val="single" w:sz="4" w:space="0" w:color="000000"/>
              <w:left w:val="single" w:sz="4" w:space="0" w:color="000000"/>
              <w:bottom w:val="single" w:sz="4" w:space="0" w:color="000000"/>
              <w:right w:val="single" w:sz="4" w:space="0" w:color="000000"/>
            </w:tcBorders>
            <w:vAlign w:val="center"/>
          </w:tcPr>
          <w:p w14:paraId="43DF883E"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−9.6</w:t>
            </w:r>
          </w:p>
        </w:tc>
        <w:tc>
          <w:tcPr>
            <w:tcW w:w="1050" w:type="dxa"/>
            <w:tcBorders>
              <w:top w:val="single" w:sz="4" w:space="0" w:color="000000"/>
              <w:left w:val="single" w:sz="4" w:space="0" w:color="000000"/>
              <w:bottom w:val="single" w:sz="4" w:space="0" w:color="000000"/>
              <w:right w:val="single" w:sz="4" w:space="0" w:color="000000"/>
            </w:tcBorders>
            <w:vAlign w:val="center"/>
          </w:tcPr>
          <w:p w14:paraId="717A7BB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w:t>
            </w:r>
          </w:p>
        </w:tc>
        <w:tc>
          <w:tcPr>
            <w:tcW w:w="1000" w:type="dxa"/>
            <w:tcBorders>
              <w:top w:val="single" w:sz="4" w:space="0" w:color="000000"/>
              <w:left w:val="single" w:sz="4" w:space="0" w:color="000000"/>
              <w:bottom w:val="single" w:sz="4" w:space="0" w:color="000000"/>
              <w:right w:val="single" w:sz="4" w:space="0" w:color="000000"/>
            </w:tcBorders>
            <w:vAlign w:val="center"/>
          </w:tcPr>
          <w:p w14:paraId="02E97A2C"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88.8</w:t>
            </w:r>
          </w:p>
        </w:tc>
      </w:tr>
      <w:tr w:rsidR="00254DF6" w:rsidRPr="00F90251" w14:paraId="78288EC0"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7BB41467"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467FA4B6"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+10%</w:t>
            </w:r>
          </w:p>
        </w:tc>
        <w:tc>
          <w:tcPr>
            <w:tcW w:w="700" w:type="dxa"/>
            <w:tcBorders>
              <w:top w:val="single" w:sz="4" w:space="0" w:color="000000"/>
              <w:left w:val="single" w:sz="4" w:space="0" w:color="000000"/>
              <w:bottom w:val="single" w:sz="4" w:space="0" w:color="000000"/>
              <w:right w:val="single" w:sz="4" w:space="0" w:color="000000"/>
            </w:tcBorders>
            <w:vAlign w:val="center"/>
          </w:tcPr>
          <w:p w14:paraId="29DEA62C"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72</w:t>
            </w:r>
          </w:p>
        </w:tc>
        <w:tc>
          <w:tcPr>
            <w:tcW w:w="700" w:type="dxa"/>
            <w:tcBorders>
              <w:top w:val="single" w:sz="4" w:space="0" w:color="000000"/>
              <w:left w:val="single" w:sz="4" w:space="0" w:color="000000"/>
              <w:bottom w:val="single" w:sz="4" w:space="0" w:color="000000"/>
              <w:right w:val="single" w:sz="4" w:space="0" w:color="000000"/>
            </w:tcBorders>
            <w:vAlign w:val="center"/>
          </w:tcPr>
          <w:p w14:paraId="5D99A77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84</w:t>
            </w:r>
          </w:p>
        </w:tc>
        <w:tc>
          <w:tcPr>
            <w:tcW w:w="1050" w:type="dxa"/>
            <w:tcBorders>
              <w:top w:val="single" w:sz="4" w:space="0" w:color="000000"/>
              <w:left w:val="single" w:sz="4" w:space="0" w:color="000000"/>
              <w:bottom w:val="single" w:sz="4" w:space="0" w:color="000000"/>
              <w:right w:val="single" w:sz="4" w:space="0" w:color="000000"/>
            </w:tcBorders>
            <w:vAlign w:val="center"/>
          </w:tcPr>
          <w:p w14:paraId="6ABA9D5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67,992</w:t>
            </w:r>
          </w:p>
        </w:tc>
        <w:tc>
          <w:tcPr>
            <w:tcW w:w="850" w:type="dxa"/>
            <w:tcBorders>
              <w:top w:val="single" w:sz="4" w:space="0" w:color="000000"/>
              <w:left w:val="single" w:sz="4" w:space="0" w:color="000000"/>
              <w:bottom w:val="single" w:sz="4" w:space="0" w:color="000000"/>
              <w:right w:val="single" w:sz="4" w:space="0" w:color="000000"/>
            </w:tcBorders>
            <w:vAlign w:val="center"/>
          </w:tcPr>
          <w:p w14:paraId="1433821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+9.6</w:t>
            </w:r>
          </w:p>
        </w:tc>
        <w:tc>
          <w:tcPr>
            <w:tcW w:w="1050" w:type="dxa"/>
            <w:tcBorders>
              <w:top w:val="single" w:sz="4" w:space="0" w:color="000000"/>
              <w:left w:val="single" w:sz="4" w:space="0" w:color="000000"/>
              <w:bottom w:val="single" w:sz="4" w:space="0" w:color="000000"/>
              <w:right w:val="single" w:sz="4" w:space="0" w:color="000000"/>
            </w:tcBorders>
            <w:vAlign w:val="center"/>
          </w:tcPr>
          <w:p w14:paraId="171200D3"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w:t>
            </w:r>
          </w:p>
        </w:tc>
        <w:tc>
          <w:tcPr>
            <w:tcW w:w="1000" w:type="dxa"/>
            <w:tcBorders>
              <w:top w:val="single" w:sz="4" w:space="0" w:color="000000"/>
              <w:left w:val="single" w:sz="4" w:space="0" w:color="000000"/>
              <w:bottom w:val="single" w:sz="4" w:space="0" w:color="000000"/>
              <w:right w:val="single" w:sz="4" w:space="0" w:color="000000"/>
            </w:tcBorders>
            <w:vAlign w:val="center"/>
          </w:tcPr>
          <w:p w14:paraId="28B6640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95.8</w:t>
            </w:r>
          </w:p>
        </w:tc>
      </w:tr>
      <w:tr w:rsidR="00254DF6" w:rsidRPr="00F90251" w14:paraId="12E865D8"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46F941A7"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63587EB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+20%</w:t>
            </w:r>
          </w:p>
        </w:tc>
        <w:tc>
          <w:tcPr>
            <w:tcW w:w="700" w:type="dxa"/>
            <w:tcBorders>
              <w:top w:val="single" w:sz="4" w:space="0" w:color="000000"/>
              <w:left w:val="single" w:sz="4" w:space="0" w:color="000000"/>
              <w:bottom w:val="single" w:sz="4" w:space="0" w:color="000000"/>
              <w:right w:val="single" w:sz="4" w:space="0" w:color="000000"/>
            </w:tcBorders>
            <w:vAlign w:val="center"/>
          </w:tcPr>
          <w:p w14:paraId="5501B3D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75</w:t>
            </w:r>
          </w:p>
        </w:tc>
        <w:tc>
          <w:tcPr>
            <w:tcW w:w="700" w:type="dxa"/>
            <w:tcBorders>
              <w:top w:val="single" w:sz="4" w:space="0" w:color="000000"/>
              <w:left w:val="single" w:sz="4" w:space="0" w:color="000000"/>
              <w:bottom w:val="single" w:sz="4" w:space="0" w:color="000000"/>
              <w:right w:val="single" w:sz="4" w:space="0" w:color="000000"/>
            </w:tcBorders>
            <w:vAlign w:val="center"/>
          </w:tcPr>
          <w:p w14:paraId="3D5CB032"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87</w:t>
            </w:r>
          </w:p>
        </w:tc>
        <w:tc>
          <w:tcPr>
            <w:tcW w:w="1050" w:type="dxa"/>
            <w:tcBorders>
              <w:top w:val="single" w:sz="4" w:space="0" w:color="000000"/>
              <w:left w:val="single" w:sz="4" w:space="0" w:color="000000"/>
              <w:bottom w:val="single" w:sz="4" w:space="0" w:color="000000"/>
              <w:right w:val="single" w:sz="4" w:space="0" w:color="000000"/>
            </w:tcBorders>
            <w:vAlign w:val="center"/>
          </w:tcPr>
          <w:p w14:paraId="27E04263"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73,887</w:t>
            </w:r>
          </w:p>
        </w:tc>
        <w:tc>
          <w:tcPr>
            <w:tcW w:w="850" w:type="dxa"/>
            <w:tcBorders>
              <w:top w:val="single" w:sz="4" w:space="0" w:color="000000"/>
              <w:left w:val="single" w:sz="4" w:space="0" w:color="000000"/>
              <w:bottom w:val="single" w:sz="4" w:space="0" w:color="000000"/>
              <w:right w:val="single" w:sz="4" w:space="0" w:color="000000"/>
            </w:tcBorders>
            <w:vAlign w:val="center"/>
          </w:tcPr>
          <w:p w14:paraId="615F89BC"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+19.1</w:t>
            </w:r>
          </w:p>
        </w:tc>
        <w:tc>
          <w:tcPr>
            <w:tcW w:w="1050" w:type="dxa"/>
            <w:tcBorders>
              <w:top w:val="single" w:sz="4" w:space="0" w:color="000000"/>
              <w:left w:val="single" w:sz="4" w:space="0" w:color="000000"/>
              <w:bottom w:val="single" w:sz="4" w:space="0" w:color="000000"/>
              <w:right w:val="single" w:sz="4" w:space="0" w:color="000000"/>
            </w:tcBorders>
            <w:vAlign w:val="center"/>
          </w:tcPr>
          <w:p w14:paraId="2933CCDC"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w:t>
            </w:r>
          </w:p>
        </w:tc>
        <w:tc>
          <w:tcPr>
            <w:tcW w:w="1000" w:type="dxa"/>
            <w:tcBorders>
              <w:top w:val="single" w:sz="4" w:space="0" w:color="000000"/>
              <w:left w:val="single" w:sz="4" w:space="0" w:color="000000"/>
              <w:bottom w:val="single" w:sz="4" w:space="0" w:color="000000"/>
              <w:right w:val="single" w:sz="4" w:space="0" w:color="000000"/>
            </w:tcBorders>
            <w:vAlign w:val="center"/>
          </w:tcPr>
          <w:p w14:paraId="4346EC6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98.8</w:t>
            </w:r>
          </w:p>
        </w:tc>
      </w:tr>
      <w:tr w:rsidR="00254DF6" w:rsidRPr="00F90251" w14:paraId="2B4F2CBA" w14:textId="77777777" w:rsidTr="00E21C70">
        <w:trPr>
          <w:cantSplit/>
          <w:trHeight w:val="300"/>
          <w:jc w:val="center"/>
        </w:trPr>
        <w:tc>
          <w:tcPr>
            <w:tcW w:w="1450" w:type="dxa"/>
            <w:vMerge w:val="restart"/>
            <w:tcBorders>
              <w:top w:val="single" w:sz="4" w:space="0" w:color="000000"/>
              <w:left w:val="single" w:sz="4" w:space="0" w:color="000000"/>
              <w:bottom w:val="single" w:sz="4" w:space="0" w:color="000000"/>
              <w:right w:val="single" w:sz="4" w:space="0" w:color="000000"/>
            </w:tcBorders>
            <w:vAlign w:val="center"/>
          </w:tcPr>
          <w:p w14:paraId="7897BFF2" w14:textId="77777777" w:rsidR="00254DF6" w:rsidRPr="00F90251" w:rsidRDefault="00254DF6" w:rsidP="00E21C70">
            <w:pPr>
              <w:pStyle w:val="Body"/>
              <w:keepNext/>
              <w:ind w:firstLine="0"/>
              <w:jc w:val="left"/>
              <w:rPr>
                <w:color w:val="000000"/>
                <w:sz w:val="18"/>
                <w:szCs w:val="18"/>
              </w:rPr>
            </w:pPr>
            <w:r w:rsidRPr="00F90251">
              <w:rPr>
                <w:color w:val="000000"/>
                <w:sz w:val="18"/>
                <w:szCs w:val="18"/>
              </w:rPr>
              <w:t>Ordering cost (S)</w:t>
            </w:r>
          </w:p>
        </w:tc>
        <w:tc>
          <w:tcPr>
            <w:tcW w:w="820" w:type="dxa"/>
            <w:tcBorders>
              <w:top w:val="single" w:sz="4" w:space="0" w:color="000000"/>
              <w:left w:val="single" w:sz="4" w:space="0" w:color="000000"/>
              <w:bottom w:val="single" w:sz="4" w:space="0" w:color="000000"/>
              <w:right w:val="single" w:sz="4" w:space="0" w:color="000000"/>
            </w:tcBorders>
            <w:vAlign w:val="center"/>
          </w:tcPr>
          <w:p w14:paraId="70AB94C2"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−20%</w:t>
            </w:r>
          </w:p>
        </w:tc>
        <w:tc>
          <w:tcPr>
            <w:tcW w:w="700" w:type="dxa"/>
            <w:tcBorders>
              <w:top w:val="single" w:sz="4" w:space="0" w:color="000000"/>
              <w:left w:val="single" w:sz="4" w:space="0" w:color="000000"/>
              <w:bottom w:val="single" w:sz="4" w:space="0" w:color="000000"/>
              <w:right w:val="single" w:sz="4" w:space="0" w:color="000000"/>
            </w:tcBorders>
            <w:vAlign w:val="center"/>
          </w:tcPr>
          <w:p w14:paraId="0176BB6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62</w:t>
            </w:r>
          </w:p>
        </w:tc>
        <w:tc>
          <w:tcPr>
            <w:tcW w:w="700" w:type="dxa"/>
            <w:tcBorders>
              <w:top w:val="single" w:sz="4" w:space="0" w:color="000000"/>
              <w:left w:val="single" w:sz="4" w:space="0" w:color="000000"/>
              <w:bottom w:val="single" w:sz="4" w:space="0" w:color="000000"/>
              <w:right w:val="single" w:sz="4" w:space="0" w:color="000000"/>
            </w:tcBorders>
            <w:vAlign w:val="center"/>
          </w:tcPr>
          <w:p w14:paraId="4300520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89</w:t>
            </w:r>
          </w:p>
        </w:tc>
        <w:tc>
          <w:tcPr>
            <w:tcW w:w="1050" w:type="dxa"/>
            <w:tcBorders>
              <w:top w:val="single" w:sz="4" w:space="0" w:color="000000"/>
              <w:left w:val="single" w:sz="4" w:space="0" w:color="000000"/>
              <w:bottom w:val="single" w:sz="4" w:space="0" w:color="000000"/>
              <w:right w:val="single" w:sz="4" w:space="0" w:color="000000"/>
            </w:tcBorders>
            <w:vAlign w:val="center"/>
          </w:tcPr>
          <w:p w14:paraId="7E57E12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61,197</w:t>
            </w:r>
          </w:p>
        </w:tc>
        <w:tc>
          <w:tcPr>
            <w:tcW w:w="850" w:type="dxa"/>
            <w:tcBorders>
              <w:top w:val="single" w:sz="4" w:space="0" w:color="000000"/>
              <w:left w:val="single" w:sz="4" w:space="0" w:color="000000"/>
              <w:bottom w:val="single" w:sz="4" w:space="0" w:color="000000"/>
              <w:right w:val="single" w:sz="4" w:space="0" w:color="000000"/>
            </w:tcBorders>
            <w:vAlign w:val="center"/>
          </w:tcPr>
          <w:p w14:paraId="0C65C88D"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−1.3</w:t>
            </w:r>
          </w:p>
        </w:tc>
        <w:tc>
          <w:tcPr>
            <w:tcW w:w="1050" w:type="dxa"/>
            <w:tcBorders>
              <w:top w:val="single" w:sz="4" w:space="0" w:color="000000"/>
              <w:left w:val="single" w:sz="4" w:space="0" w:color="000000"/>
              <w:bottom w:val="single" w:sz="4" w:space="0" w:color="000000"/>
              <w:right w:val="single" w:sz="4" w:space="0" w:color="000000"/>
            </w:tcBorders>
            <w:vAlign w:val="center"/>
          </w:tcPr>
          <w:p w14:paraId="37CB7701"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5.9</w:t>
            </w:r>
          </w:p>
        </w:tc>
        <w:tc>
          <w:tcPr>
            <w:tcW w:w="1000" w:type="dxa"/>
            <w:tcBorders>
              <w:top w:val="single" w:sz="4" w:space="0" w:color="000000"/>
              <w:left w:val="single" w:sz="4" w:space="0" w:color="000000"/>
              <w:bottom w:val="single" w:sz="4" w:space="0" w:color="000000"/>
              <w:right w:val="single" w:sz="4" w:space="0" w:color="000000"/>
            </w:tcBorders>
            <w:vAlign w:val="center"/>
          </w:tcPr>
          <w:p w14:paraId="13A13A8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85.8</w:t>
            </w:r>
          </w:p>
        </w:tc>
      </w:tr>
      <w:tr w:rsidR="00254DF6" w:rsidRPr="00F90251" w14:paraId="554F4F01"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1773B3B0"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4CC131C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−10%</w:t>
            </w:r>
          </w:p>
        </w:tc>
        <w:tc>
          <w:tcPr>
            <w:tcW w:w="700" w:type="dxa"/>
            <w:tcBorders>
              <w:top w:val="single" w:sz="4" w:space="0" w:color="000000"/>
              <w:left w:val="single" w:sz="4" w:space="0" w:color="000000"/>
              <w:bottom w:val="single" w:sz="4" w:space="0" w:color="000000"/>
              <w:right w:val="single" w:sz="4" w:space="0" w:color="000000"/>
            </w:tcBorders>
            <w:vAlign w:val="center"/>
          </w:tcPr>
          <w:p w14:paraId="2A9FFDD5"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65</w:t>
            </w:r>
          </w:p>
        </w:tc>
        <w:tc>
          <w:tcPr>
            <w:tcW w:w="700" w:type="dxa"/>
            <w:tcBorders>
              <w:top w:val="single" w:sz="4" w:space="0" w:color="000000"/>
              <w:left w:val="single" w:sz="4" w:space="0" w:color="000000"/>
              <w:bottom w:val="single" w:sz="4" w:space="0" w:color="000000"/>
              <w:right w:val="single" w:sz="4" w:space="0" w:color="000000"/>
            </w:tcBorders>
            <w:vAlign w:val="center"/>
          </w:tcPr>
          <w:p w14:paraId="56D999FC"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84</w:t>
            </w:r>
          </w:p>
        </w:tc>
        <w:tc>
          <w:tcPr>
            <w:tcW w:w="1050" w:type="dxa"/>
            <w:tcBorders>
              <w:top w:val="single" w:sz="4" w:space="0" w:color="000000"/>
              <w:left w:val="single" w:sz="4" w:space="0" w:color="000000"/>
              <w:bottom w:val="single" w:sz="4" w:space="0" w:color="000000"/>
              <w:right w:val="single" w:sz="4" w:space="0" w:color="000000"/>
            </w:tcBorders>
            <w:vAlign w:val="center"/>
          </w:tcPr>
          <w:p w14:paraId="74F54EEE"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61,606</w:t>
            </w:r>
          </w:p>
        </w:tc>
        <w:tc>
          <w:tcPr>
            <w:tcW w:w="850" w:type="dxa"/>
            <w:tcBorders>
              <w:top w:val="single" w:sz="4" w:space="0" w:color="000000"/>
              <w:left w:val="single" w:sz="4" w:space="0" w:color="000000"/>
              <w:bottom w:val="single" w:sz="4" w:space="0" w:color="000000"/>
              <w:right w:val="single" w:sz="4" w:space="0" w:color="000000"/>
            </w:tcBorders>
            <w:vAlign w:val="center"/>
          </w:tcPr>
          <w:p w14:paraId="01E2005E"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−0.7</w:t>
            </w:r>
          </w:p>
        </w:tc>
        <w:tc>
          <w:tcPr>
            <w:tcW w:w="1050" w:type="dxa"/>
            <w:tcBorders>
              <w:top w:val="single" w:sz="4" w:space="0" w:color="000000"/>
              <w:left w:val="single" w:sz="4" w:space="0" w:color="000000"/>
              <w:bottom w:val="single" w:sz="4" w:space="0" w:color="000000"/>
              <w:right w:val="single" w:sz="4" w:space="0" w:color="000000"/>
            </w:tcBorders>
            <w:vAlign w:val="center"/>
          </w:tcPr>
          <w:p w14:paraId="5634CC05"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6.8</w:t>
            </w:r>
          </w:p>
        </w:tc>
        <w:tc>
          <w:tcPr>
            <w:tcW w:w="1000" w:type="dxa"/>
            <w:tcBorders>
              <w:top w:val="single" w:sz="4" w:space="0" w:color="000000"/>
              <w:left w:val="single" w:sz="4" w:space="0" w:color="000000"/>
              <w:bottom w:val="single" w:sz="4" w:space="0" w:color="000000"/>
              <w:right w:val="single" w:sz="4" w:space="0" w:color="000000"/>
            </w:tcBorders>
            <w:vAlign w:val="center"/>
          </w:tcPr>
          <w:p w14:paraId="4283CCA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88.8</w:t>
            </w:r>
          </w:p>
        </w:tc>
      </w:tr>
      <w:tr w:rsidR="00254DF6" w:rsidRPr="00F90251" w14:paraId="21013795"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5E96AA82"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55183290"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+10%</w:t>
            </w:r>
          </w:p>
        </w:tc>
        <w:tc>
          <w:tcPr>
            <w:tcW w:w="700" w:type="dxa"/>
            <w:tcBorders>
              <w:top w:val="single" w:sz="4" w:space="0" w:color="000000"/>
              <w:left w:val="single" w:sz="4" w:space="0" w:color="000000"/>
              <w:bottom w:val="single" w:sz="4" w:space="0" w:color="000000"/>
              <w:right w:val="single" w:sz="4" w:space="0" w:color="000000"/>
            </w:tcBorders>
            <w:vAlign w:val="center"/>
          </w:tcPr>
          <w:p w14:paraId="1C58A963"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72</w:t>
            </w:r>
          </w:p>
        </w:tc>
        <w:tc>
          <w:tcPr>
            <w:tcW w:w="700" w:type="dxa"/>
            <w:tcBorders>
              <w:top w:val="single" w:sz="4" w:space="0" w:color="000000"/>
              <w:left w:val="single" w:sz="4" w:space="0" w:color="000000"/>
              <w:bottom w:val="single" w:sz="4" w:space="0" w:color="000000"/>
              <w:right w:val="single" w:sz="4" w:space="0" w:color="000000"/>
            </w:tcBorders>
            <w:vAlign w:val="center"/>
          </w:tcPr>
          <w:p w14:paraId="1067041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76</w:t>
            </w:r>
          </w:p>
        </w:tc>
        <w:tc>
          <w:tcPr>
            <w:tcW w:w="1050" w:type="dxa"/>
            <w:tcBorders>
              <w:top w:val="single" w:sz="4" w:space="0" w:color="000000"/>
              <w:left w:val="single" w:sz="4" w:space="0" w:color="000000"/>
              <w:bottom w:val="single" w:sz="4" w:space="0" w:color="000000"/>
              <w:right w:val="single" w:sz="4" w:space="0" w:color="000000"/>
            </w:tcBorders>
            <w:vAlign w:val="center"/>
          </w:tcPr>
          <w:p w14:paraId="5B14F15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62,363</w:t>
            </w:r>
          </w:p>
        </w:tc>
        <w:tc>
          <w:tcPr>
            <w:tcW w:w="850" w:type="dxa"/>
            <w:tcBorders>
              <w:top w:val="single" w:sz="4" w:space="0" w:color="000000"/>
              <w:left w:val="single" w:sz="4" w:space="0" w:color="000000"/>
              <w:bottom w:val="single" w:sz="4" w:space="0" w:color="000000"/>
              <w:right w:val="single" w:sz="4" w:space="0" w:color="000000"/>
            </w:tcBorders>
            <w:vAlign w:val="center"/>
          </w:tcPr>
          <w:p w14:paraId="4D7BBAFF"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+0.5</w:t>
            </w:r>
          </w:p>
        </w:tc>
        <w:tc>
          <w:tcPr>
            <w:tcW w:w="1050" w:type="dxa"/>
            <w:tcBorders>
              <w:top w:val="single" w:sz="4" w:space="0" w:color="000000"/>
              <w:left w:val="single" w:sz="4" w:space="0" w:color="000000"/>
              <w:bottom w:val="single" w:sz="4" w:space="0" w:color="000000"/>
              <w:right w:val="single" w:sz="4" w:space="0" w:color="000000"/>
            </w:tcBorders>
            <w:vAlign w:val="center"/>
          </w:tcPr>
          <w:p w14:paraId="1EC1B66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8.5</w:t>
            </w:r>
          </w:p>
        </w:tc>
        <w:tc>
          <w:tcPr>
            <w:tcW w:w="1000" w:type="dxa"/>
            <w:tcBorders>
              <w:top w:val="single" w:sz="4" w:space="0" w:color="000000"/>
              <w:left w:val="single" w:sz="4" w:space="0" w:color="000000"/>
              <w:bottom w:val="single" w:sz="4" w:space="0" w:color="000000"/>
              <w:right w:val="single" w:sz="4" w:space="0" w:color="000000"/>
            </w:tcBorders>
            <w:vAlign w:val="center"/>
          </w:tcPr>
          <w:p w14:paraId="087F919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95.8</w:t>
            </w:r>
          </w:p>
        </w:tc>
      </w:tr>
      <w:tr w:rsidR="00254DF6" w:rsidRPr="00F90251" w14:paraId="496BBB74"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46BE0DEB"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0428D275"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+20%</w:t>
            </w:r>
          </w:p>
        </w:tc>
        <w:tc>
          <w:tcPr>
            <w:tcW w:w="700" w:type="dxa"/>
            <w:tcBorders>
              <w:top w:val="single" w:sz="4" w:space="0" w:color="000000"/>
              <w:left w:val="single" w:sz="4" w:space="0" w:color="000000"/>
              <w:bottom w:val="single" w:sz="4" w:space="0" w:color="000000"/>
              <w:right w:val="single" w:sz="4" w:space="0" w:color="000000"/>
            </w:tcBorders>
            <w:vAlign w:val="center"/>
          </w:tcPr>
          <w:p w14:paraId="2D1E7D11"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75</w:t>
            </w:r>
          </w:p>
        </w:tc>
        <w:tc>
          <w:tcPr>
            <w:tcW w:w="700" w:type="dxa"/>
            <w:tcBorders>
              <w:top w:val="single" w:sz="4" w:space="0" w:color="000000"/>
              <w:left w:val="single" w:sz="4" w:space="0" w:color="000000"/>
              <w:bottom w:val="single" w:sz="4" w:space="0" w:color="000000"/>
              <w:right w:val="single" w:sz="4" w:space="0" w:color="000000"/>
            </w:tcBorders>
            <w:vAlign w:val="center"/>
          </w:tcPr>
          <w:p w14:paraId="05B0AF40"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73</w:t>
            </w:r>
          </w:p>
        </w:tc>
        <w:tc>
          <w:tcPr>
            <w:tcW w:w="1050" w:type="dxa"/>
            <w:tcBorders>
              <w:top w:val="single" w:sz="4" w:space="0" w:color="000000"/>
              <w:left w:val="single" w:sz="4" w:space="0" w:color="000000"/>
              <w:bottom w:val="single" w:sz="4" w:space="0" w:color="000000"/>
              <w:right w:val="single" w:sz="4" w:space="0" w:color="000000"/>
            </w:tcBorders>
            <w:vAlign w:val="center"/>
          </w:tcPr>
          <w:p w14:paraId="663FD4F5"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62,720</w:t>
            </w:r>
          </w:p>
        </w:tc>
        <w:tc>
          <w:tcPr>
            <w:tcW w:w="850" w:type="dxa"/>
            <w:tcBorders>
              <w:top w:val="single" w:sz="4" w:space="0" w:color="000000"/>
              <w:left w:val="single" w:sz="4" w:space="0" w:color="000000"/>
              <w:bottom w:val="single" w:sz="4" w:space="0" w:color="000000"/>
              <w:right w:val="single" w:sz="4" w:space="0" w:color="000000"/>
            </w:tcBorders>
            <w:vAlign w:val="center"/>
          </w:tcPr>
          <w:p w14:paraId="39D9A960"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+1.1</w:t>
            </w:r>
          </w:p>
        </w:tc>
        <w:tc>
          <w:tcPr>
            <w:tcW w:w="1050" w:type="dxa"/>
            <w:tcBorders>
              <w:top w:val="single" w:sz="4" w:space="0" w:color="000000"/>
              <w:left w:val="single" w:sz="4" w:space="0" w:color="000000"/>
              <w:bottom w:val="single" w:sz="4" w:space="0" w:color="000000"/>
              <w:right w:val="single" w:sz="4" w:space="0" w:color="000000"/>
            </w:tcBorders>
            <w:vAlign w:val="center"/>
          </w:tcPr>
          <w:p w14:paraId="6E4390B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9.4</w:t>
            </w:r>
          </w:p>
        </w:tc>
        <w:tc>
          <w:tcPr>
            <w:tcW w:w="1000" w:type="dxa"/>
            <w:tcBorders>
              <w:top w:val="single" w:sz="4" w:space="0" w:color="000000"/>
              <w:left w:val="single" w:sz="4" w:space="0" w:color="000000"/>
              <w:bottom w:val="single" w:sz="4" w:space="0" w:color="000000"/>
              <w:right w:val="single" w:sz="4" w:space="0" w:color="000000"/>
            </w:tcBorders>
            <w:vAlign w:val="center"/>
          </w:tcPr>
          <w:p w14:paraId="31133883"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98.8</w:t>
            </w:r>
          </w:p>
        </w:tc>
      </w:tr>
      <w:tr w:rsidR="00254DF6" w:rsidRPr="00F90251" w14:paraId="60C84941" w14:textId="77777777" w:rsidTr="00E21C70">
        <w:trPr>
          <w:cantSplit/>
          <w:trHeight w:val="300"/>
          <w:jc w:val="center"/>
        </w:trPr>
        <w:tc>
          <w:tcPr>
            <w:tcW w:w="1450" w:type="dxa"/>
            <w:vMerge w:val="restart"/>
            <w:tcBorders>
              <w:top w:val="single" w:sz="4" w:space="0" w:color="000000"/>
              <w:left w:val="single" w:sz="4" w:space="0" w:color="000000"/>
              <w:bottom w:val="single" w:sz="4" w:space="0" w:color="000000"/>
              <w:right w:val="single" w:sz="4" w:space="0" w:color="000000"/>
            </w:tcBorders>
            <w:vAlign w:val="center"/>
          </w:tcPr>
          <w:p w14:paraId="45031E04" w14:textId="77777777" w:rsidR="00254DF6" w:rsidRPr="00F90251" w:rsidRDefault="00254DF6" w:rsidP="00E21C70">
            <w:pPr>
              <w:pStyle w:val="Body"/>
              <w:keepNext/>
              <w:ind w:firstLine="0"/>
              <w:jc w:val="left"/>
              <w:rPr>
                <w:color w:val="000000"/>
                <w:sz w:val="18"/>
                <w:szCs w:val="18"/>
              </w:rPr>
            </w:pPr>
            <w:r w:rsidRPr="00F90251">
              <w:rPr>
                <w:color w:val="000000"/>
                <w:sz w:val="18"/>
                <w:szCs w:val="18"/>
              </w:rPr>
              <w:t>Holding cost (H)</w:t>
            </w:r>
          </w:p>
        </w:tc>
        <w:tc>
          <w:tcPr>
            <w:tcW w:w="820" w:type="dxa"/>
            <w:tcBorders>
              <w:top w:val="single" w:sz="4" w:space="0" w:color="000000"/>
              <w:left w:val="single" w:sz="4" w:space="0" w:color="000000"/>
              <w:bottom w:val="single" w:sz="4" w:space="0" w:color="000000"/>
              <w:right w:val="single" w:sz="4" w:space="0" w:color="000000"/>
            </w:tcBorders>
            <w:vAlign w:val="center"/>
          </w:tcPr>
          <w:p w14:paraId="23A3673B"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−20%</w:t>
            </w:r>
          </w:p>
        </w:tc>
        <w:tc>
          <w:tcPr>
            <w:tcW w:w="700" w:type="dxa"/>
            <w:tcBorders>
              <w:top w:val="single" w:sz="4" w:space="0" w:color="000000"/>
              <w:left w:val="single" w:sz="4" w:space="0" w:color="000000"/>
              <w:bottom w:val="single" w:sz="4" w:space="0" w:color="000000"/>
              <w:right w:val="single" w:sz="4" w:space="0" w:color="000000"/>
            </w:tcBorders>
            <w:vAlign w:val="center"/>
          </w:tcPr>
          <w:p w14:paraId="4EBC0BDD"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77</w:t>
            </w:r>
          </w:p>
        </w:tc>
        <w:tc>
          <w:tcPr>
            <w:tcW w:w="700" w:type="dxa"/>
            <w:tcBorders>
              <w:top w:val="single" w:sz="4" w:space="0" w:color="000000"/>
              <w:left w:val="single" w:sz="4" w:space="0" w:color="000000"/>
              <w:bottom w:val="single" w:sz="4" w:space="0" w:color="000000"/>
              <w:right w:val="single" w:sz="4" w:space="0" w:color="000000"/>
            </w:tcBorders>
            <w:vAlign w:val="center"/>
          </w:tcPr>
          <w:p w14:paraId="1F1FF76D"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71</w:t>
            </w:r>
          </w:p>
        </w:tc>
        <w:tc>
          <w:tcPr>
            <w:tcW w:w="1050" w:type="dxa"/>
            <w:tcBorders>
              <w:top w:val="single" w:sz="4" w:space="0" w:color="000000"/>
              <w:left w:val="single" w:sz="4" w:space="0" w:color="000000"/>
              <w:bottom w:val="single" w:sz="4" w:space="0" w:color="000000"/>
              <w:right w:val="single" w:sz="4" w:space="0" w:color="000000"/>
            </w:tcBorders>
            <w:vAlign w:val="center"/>
          </w:tcPr>
          <w:p w14:paraId="2863D7C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61,493</w:t>
            </w:r>
          </w:p>
        </w:tc>
        <w:tc>
          <w:tcPr>
            <w:tcW w:w="850" w:type="dxa"/>
            <w:tcBorders>
              <w:top w:val="single" w:sz="4" w:space="0" w:color="000000"/>
              <w:left w:val="single" w:sz="4" w:space="0" w:color="000000"/>
              <w:bottom w:val="single" w:sz="4" w:space="0" w:color="000000"/>
              <w:right w:val="single" w:sz="4" w:space="0" w:color="000000"/>
            </w:tcBorders>
            <w:vAlign w:val="center"/>
          </w:tcPr>
          <w:p w14:paraId="1959DC90"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−0.9</w:t>
            </w:r>
          </w:p>
        </w:tc>
        <w:tc>
          <w:tcPr>
            <w:tcW w:w="1050" w:type="dxa"/>
            <w:tcBorders>
              <w:top w:val="single" w:sz="4" w:space="0" w:color="000000"/>
              <w:left w:val="single" w:sz="4" w:space="0" w:color="000000"/>
              <w:bottom w:val="single" w:sz="4" w:space="0" w:color="000000"/>
              <w:right w:val="single" w:sz="4" w:space="0" w:color="000000"/>
            </w:tcBorders>
            <w:vAlign w:val="center"/>
          </w:tcPr>
          <w:p w14:paraId="276F500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8.4</w:t>
            </w:r>
          </w:p>
        </w:tc>
        <w:tc>
          <w:tcPr>
            <w:tcW w:w="1000" w:type="dxa"/>
            <w:tcBorders>
              <w:top w:val="single" w:sz="4" w:space="0" w:color="000000"/>
              <w:left w:val="single" w:sz="4" w:space="0" w:color="000000"/>
              <w:bottom w:val="single" w:sz="4" w:space="0" w:color="000000"/>
              <w:right w:val="single" w:sz="4" w:space="0" w:color="000000"/>
            </w:tcBorders>
            <w:vAlign w:val="center"/>
          </w:tcPr>
          <w:p w14:paraId="745E4D4C"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100.8</w:t>
            </w:r>
          </w:p>
        </w:tc>
      </w:tr>
      <w:tr w:rsidR="00254DF6" w:rsidRPr="00F90251" w14:paraId="19B2BB54"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7EAF2B22"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2116C67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−10%</w:t>
            </w:r>
          </w:p>
        </w:tc>
        <w:tc>
          <w:tcPr>
            <w:tcW w:w="700" w:type="dxa"/>
            <w:tcBorders>
              <w:top w:val="single" w:sz="4" w:space="0" w:color="000000"/>
              <w:left w:val="single" w:sz="4" w:space="0" w:color="000000"/>
              <w:bottom w:val="single" w:sz="4" w:space="0" w:color="000000"/>
              <w:right w:val="single" w:sz="4" w:space="0" w:color="000000"/>
            </w:tcBorders>
            <w:vAlign w:val="center"/>
          </w:tcPr>
          <w:p w14:paraId="01C89AAD"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73</w:t>
            </w:r>
          </w:p>
        </w:tc>
        <w:tc>
          <w:tcPr>
            <w:tcW w:w="700" w:type="dxa"/>
            <w:tcBorders>
              <w:top w:val="single" w:sz="4" w:space="0" w:color="000000"/>
              <w:left w:val="single" w:sz="4" w:space="0" w:color="000000"/>
              <w:bottom w:val="single" w:sz="4" w:space="0" w:color="000000"/>
              <w:right w:val="single" w:sz="4" w:space="0" w:color="000000"/>
            </w:tcBorders>
            <w:vAlign w:val="center"/>
          </w:tcPr>
          <w:p w14:paraId="07E2915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76</w:t>
            </w:r>
          </w:p>
        </w:tc>
        <w:tc>
          <w:tcPr>
            <w:tcW w:w="1050" w:type="dxa"/>
            <w:tcBorders>
              <w:top w:val="single" w:sz="4" w:space="0" w:color="000000"/>
              <w:left w:val="single" w:sz="4" w:space="0" w:color="000000"/>
              <w:bottom w:val="single" w:sz="4" w:space="0" w:color="000000"/>
              <w:right w:val="single" w:sz="4" w:space="0" w:color="000000"/>
            </w:tcBorders>
            <w:vAlign w:val="center"/>
          </w:tcPr>
          <w:p w14:paraId="19EEED83"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61,805</w:t>
            </w:r>
          </w:p>
        </w:tc>
        <w:tc>
          <w:tcPr>
            <w:tcW w:w="850" w:type="dxa"/>
            <w:tcBorders>
              <w:top w:val="single" w:sz="4" w:space="0" w:color="000000"/>
              <w:left w:val="single" w:sz="4" w:space="0" w:color="000000"/>
              <w:bottom w:val="single" w:sz="4" w:space="0" w:color="000000"/>
              <w:right w:val="single" w:sz="4" w:space="0" w:color="000000"/>
            </w:tcBorders>
            <w:vAlign w:val="center"/>
          </w:tcPr>
          <w:p w14:paraId="7E1A6D7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−0.4</w:t>
            </w:r>
          </w:p>
        </w:tc>
        <w:tc>
          <w:tcPr>
            <w:tcW w:w="1050" w:type="dxa"/>
            <w:tcBorders>
              <w:top w:val="single" w:sz="4" w:space="0" w:color="000000"/>
              <w:left w:val="single" w:sz="4" w:space="0" w:color="000000"/>
              <w:bottom w:val="single" w:sz="4" w:space="0" w:color="000000"/>
              <w:right w:val="single" w:sz="4" w:space="0" w:color="000000"/>
            </w:tcBorders>
            <w:vAlign w:val="center"/>
          </w:tcPr>
          <w:p w14:paraId="56E5F8E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7.9</w:t>
            </w:r>
          </w:p>
        </w:tc>
        <w:tc>
          <w:tcPr>
            <w:tcW w:w="1000" w:type="dxa"/>
            <w:tcBorders>
              <w:top w:val="single" w:sz="4" w:space="0" w:color="000000"/>
              <w:left w:val="single" w:sz="4" w:space="0" w:color="000000"/>
              <w:bottom w:val="single" w:sz="4" w:space="0" w:color="000000"/>
              <w:right w:val="single" w:sz="4" w:space="0" w:color="000000"/>
            </w:tcBorders>
            <w:vAlign w:val="center"/>
          </w:tcPr>
          <w:p w14:paraId="4F8AC4F5"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96.8</w:t>
            </w:r>
          </w:p>
        </w:tc>
      </w:tr>
      <w:tr w:rsidR="00254DF6" w:rsidRPr="00F90251" w14:paraId="3AAFC23A"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78C95490"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5EBE0A5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+10%</w:t>
            </w:r>
          </w:p>
        </w:tc>
        <w:tc>
          <w:tcPr>
            <w:tcW w:w="700" w:type="dxa"/>
            <w:tcBorders>
              <w:top w:val="single" w:sz="4" w:space="0" w:color="000000"/>
              <w:left w:val="single" w:sz="4" w:space="0" w:color="000000"/>
              <w:bottom w:val="single" w:sz="4" w:space="0" w:color="000000"/>
              <w:right w:val="single" w:sz="4" w:space="0" w:color="000000"/>
            </w:tcBorders>
            <w:vAlign w:val="center"/>
          </w:tcPr>
          <w:p w14:paraId="3BA00A3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66</w:t>
            </w:r>
          </w:p>
        </w:tc>
        <w:tc>
          <w:tcPr>
            <w:tcW w:w="700" w:type="dxa"/>
            <w:tcBorders>
              <w:top w:val="single" w:sz="4" w:space="0" w:color="000000"/>
              <w:left w:val="single" w:sz="4" w:space="0" w:color="000000"/>
              <w:bottom w:val="single" w:sz="4" w:space="0" w:color="000000"/>
              <w:right w:val="single" w:sz="4" w:space="0" w:color="000000"/>
            </w:tcBorders>
            <w:vAlign w:val="center"/>
          </w:tcPr>
          <w:p w14:paraId="05B4D2ED"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84</w:t>
            </w:r>
          </w:p>
        </w:tc>
        <w:tc>
          <w:tcPr>
            <w:tcW w:w="1050" w:type="dxa"/>
            <w:tcBorders>
              <w:top w:val="single" w:sz="4" w:space="0" w:color="000000"/>
              <w:left w:val="single" w:sz="4" w:space="0" w:color="000000"/>
              <w:bottom w:val="single" w:sz="4" w:space="0" w:color="000000"/>
              <w:right w:val="single" w:sz="4" w:space="0" w:color="000000"/>
            </w:tcBorders>
            <w:vAlign w:val="center"/>
          </w:tcPr>
          <w:p w14:paraId="050C73A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62,273</w:t>
            </w:r>
          </w:p>
        </w:tc>
        <w:tc>
          <w:tcPr>
            <w:tcW w:w="850" w:type="dxa"/>
            <w:tcBorders>
              <w:top w:val="single" w:sz="4" w:space="0" w:color="000000"/>
              <w:left w:val="single" w:sz="4" w:space="0" w:color="000000"/>
              <w:bottom w:val="single" w:sz="4" w:space="0" w:color="000000"/>
              <w:right w:val="single" w:sz="4" w:space="0" w:color="000000"/>
            </w:tcBorders>
            <w:vAlign w:val="center"/>
          </w:tcPr>
          <w:p w14:paraId="49BD0E21"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+0.4</w:t>
            </w:r>
          </w:p>
        </w:tc>
        <w:tc>
          <w:tcPr>
            <w:tcW w:w="1050" w:type="dxa"/>
            <w:tcBorders>
              <w:top w:val="single" w:sz="4" w:space="0" w:color="000000"/>
              <w:left w:val="single" w:sz="4" w:space="0" w:color="000000"/>
              <w:bottom w:val="single" w:sz="4" w:space="0" w:color="000000"/>
              <w:right w:val="single" w:sz="4" w:space="0" w:color="000000"/>
            </w:tcBorders>
            <w:vAlign w:val="center"/>
          </w:tcPr>
          <w:p w14:paraId="74D3E0A0"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7.3</w:t>
            </w:r>
          </w:p>
        </w:tc>
        <w:tc>
          <w:tcPr>
            <w:tcW w:w="1000" w:type="dxa"/>
            <w:tcBorders>
              <w:top w:val="single" w:sz="4" w:space="0" w:color="000000"/>
              <w:left w:val="single" w:sz="4" w:space="0" w:color="000000"/>
              <w:bottom w:val="single" w:sz="4" w:space="0" w:color="000000"/>
              <w:right w:val="single" w:sz="4" w:space="0" w:color="000000"/>
            </w:tcBorders>
            <w:vAlign w:val="center"/>
          </w:tcPr>
          <w:p w14:paraId="7F5D55C1"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89.8</w:t>
            </w:r>
          </w:p>
        </w:tc>
      </w:tr>
      <w:tr w:rsidR="00254DF6" w:rsidRPr="00F90251" w14:paraId="6D635CA9"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03BB0151"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382E3686"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+20%</w:t>
            </w:r>
          </w:p>
        </w:tc>
        <w:tc>
          <w:tcPr>
            <w:tcW w:w="700" w:type="dxa"/>
            <w:tcBorders>
              <w:top w:val="single" w:sz="4" w:space="0" w:color="000000"/>
              <w:left w:val="single" w:sz="4" w:space="0" w:color="000000"/>
              <w:bottom w:val="single" w:sz="4" w:space="0" w:color="000000"/>
              <w:right w:val="single" w:sz="4" w:space="0" w:color="000000"/>
            </w:tcBorders>
            <w:vAlign w:val="center"/>
          </w:tcPr>
          <w:p w14:paraId="5FEE9210"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63</w:t>
            </w:r>
          </w:p>
        </w:tc>
        <w:tc>
          <w:tcPr>
            <w:tcW w:w="700" w:type="dxa"/>
            <w:tcBorders>
              <w:top w:val="single" w:sz="4" w:space="0" w:color="000000"/>
              <w:left w:val="single" w:sz="4" w:space="0" w:color="000000"/>
              <w:bottom w:val="single" w:sz="4" w:space="0" w:color="000000"/>
              <w:right w:val="single" w:sz="4" w:space="0" w:color="000000"/>
            </w:tcBorders>
            <w:vAlign w:val="center"/>
          </w:tcPr>
          <w:p w14:paraId="5E66526B"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87</w:t>
            </w:r>
          </w:p>
        </w:tc>
        <w:tc>
          <w:tcPr>
            <w:tcW w:w="1050" w:type="dxa"/>
            <w:tcBorders>
              <w:top w:val="single" w:sz="4" w:space="0" w:color="000000"/>
              <w:left w:val="single" w:sz="4" w:space="0" w:color="000000"/>
              <w:bottom w:val="single" w:sz="4" w:space="0" w:color="000000"/>
              <w:right w:val="single" w:sz="4" w:space="0" w:color="000000"/>
            </w:tcBorders>
            <w:vAlign w:val="center"/>
          </w:tcPr>
          <w:p w14:paraId="1674AE36"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62,436</w:t>
            </w:r>
          </w:p>
        </w:tc>
        <w:tc>
          <w:tcPr>
            <w:tcW w:w="850" w:type="dxa"/>
            <w:tcBorders>
              <w:top w:val="single" w:sz="4" w:space="0" w:color="000000"/>
              <w:left w:val="single" w:sz="4" w:space="0" w:color="000000"/>
              <w:bottom w:val="single" w:sz="4" w:space="0" w:color="000000"/>
              <w:right w:val="single" w:sz="4" w:space="0" w:color="000000"/>
            </w:tcBorders>
            <w:vAlign w:val="center"/>
          </w:tcPr>
          <w:p w14:paraId="154C1135"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+0.7</w:t>
            </w:r>
          </w:p>
        </w:tc>
        <w:tc>
          <w:tcPr>
            <w:tcW w:w="1050" w:type="dxa"/>
            <w:tcBorders>
              <w:top w:val="single" w:sz="4" w:space="0" w:color="000000"/>
              <w:left w:val="single" w:sz="4" w:space="0" w:color="000000"/>
              <w:bottom w:val="single" w:sz="4" w:space="0" w:color="000000"/>
              <w:right w:val="single" w:sz="4" w:space="0" w:color="000000"/>
            </w:tcBorders>
            <w:vAlign w:val="center"/>
          </w:tcPr>
          <w:p w14:paraId="223CCB96"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7.1</w:t>
            </w:r>
          </w:p>
        </w:tc>
        <w:tc>
          <w:tcPr>
            <w:tcW w:w="1000" w:type="dxa"/>
            <w:tcBorders>
              <w:top w:val="single" w:sz="4" w:space="0" w:color="000000"/>
              <w:left w:val="single" w:sz="4" w:space="0" w:color="000000"/>
              <w:bottom w:val="single" w:sz="4" w:space="0" w:color="000000"/>
              <w:right w:val="single" w:sz="4" w:space="0" w:color="000000"/>
            </w:tcBorders>
            <w:vAlign w:val="center"/>
          </w:tcPr>
          <w:p w14:paraId="115B0F37"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86.8</w:t>
            </w:r>
          </w:p>
        </w:tc>
      </w:tr>
      <w:tr w:rsidR="00254DF6" w:rsidRPr="00F90251" w14:paraId="55E72235" w14:textId="77777777" w:rsidTr="00E21C70">
        <w:trPr>
          <w:cantSplit/>
          <w:trHeight w:val="300"/>
          <w:jc w:val="center"/>
        </w:trPr>
        <w:tc>
          <w:tcPr>
            <w:tcW w:w="1450" w:type="dxa"/>
            <w:vMerge w:val="restart"/>
            <w:tcBorders>
              <w:top w:val="single" w:sz="4" w:space="0" w:color="000000"/>
              <w:left w:val="single" w:sz="4" w:space="0" w:color="000000"/>
              <w:bottom w:val="single" w:sz="4" w:space="0" w:color="000000"/>
              <w:right w:val="single" w:sz="4" w:space="0" w:color="000000"/>
            </w:tcBorders>
            <w:vAlign w:val="center"/>
          </w:tcPr>
          <w:p w14:paraId="17E6BBA1" w14:textId="77777777" w:rsidR="00254DF6" w:rsidRPr="00F90251" w:rsidRDefault="00254DF6" w:rsidP="00E21C70">
            <w:pPr>
              <w:pStyle w:val="Body"/>
              <w:keepNext/>
              <w:ind w:firstLine="0"/>
              <w:jc w:val="left"/>
              <w:rPr>
                <w:color w:val="000000"/>
                <w:sz w:val="18"/>
                <w:szCs w:val="18"/>
              </w:rPr>
            </w:pPr>
            <w:r w:rsidRPr="00F90251">
              <w:rPr>
                <w:color w:val="000000"/>
                <w:sz w:val="18"/>
                <w:szCs w:val="18"/>
              </w:rPr>
              <w:t>Discount limit (IDR per order)</w:t>
            </w:r>
          </w:p>
        </w:tc>
        <w:tc>
          <w:tcPr>
            <w:tcW w:w="820" w:type="dxa"/>
            <w:tcBorders>
              <w:top w:val="single" w:sz="4" w:space="0" w:color="000000"/>
              <w:left w:val="single" w:sz="4" w:space="0" w:color="000000"/>
              <w:bottom w:val="single" w:sz="4" w:space="0" w:color="000000"/>
              <w:right w:val="single" w:sz="4" w:space="0" w:color="000000"/>
            </w:tcBorders>
            <w:vAlign w:val="center"/>
          </w:tcPr>
          <w:p w14:paraId="09B8C943"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tcPr>
          <w:p w14:paraId="110DC48B"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69</w:t>
            </w:r>
          </w:p>
        </w:tc>
        <w:tc>
          <w:tcPr>
            <w:tcW w:w="700" w:type="dxa"/>
            <w:tcBorders>
              <w:top w:val="single" w:sz="4" w:space="0" w:color="000000"/>
              <w:left w:val="single" w:sz="4" w:space="0" w:color="000000"/>
              <w:bottom w:val="single" w:sz="4" w:space="0" w:color="000000"/>
              <w:right w:val="single" w:sz="4" w:space="0" w:color="000000"/>
            </w:tcBorders>
            <w:vAlign w:val="center"/>
          </w:tcPr>
          <w:p w14:paraId="5839BA9F"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80</w:t>
            </w:r>
          </w:p>
        </w:tc>
        <w:tc>
          <w:tcPr>
            <w:tcW w:w="1050" w:type="dxa"/>
            <w:tcBorders>
              <w:top w:val="single" w:sz="4" w:space="0" w:color="000000"/>
              <w:left w:val="single" w:sz="4" w:space="0" w:color="000000"/>
              <w:bottom w:val="single" w:sz="4" w:space="0" w:color="000000"/>
              <w:right w:val="single" w:sz="4" w:space="0" w:color="000000"/>
            </w:tcBorders>
            <w:vAlign w:val="center"/>
          </w:tcPr>
          <w:p w14:paraId="39B95375"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63,619</w:t>
            </w:r>
          </w:p>
        </w:tc>
        <w:tc>
          <w:tcPr>
            <w:tcW w:w="850" w:type="dxa"/>
            <w:tcBorders>
              <w:top w:val="single" w:sz="4" w:space="0" w:color="000000"/>
              <w:left w:val="single" w:sz="4" w:space="0" w:color="000000"/>
              <w:bottom w:val="single" w:sz="4" w:space="0" w:color="000000"/>
              <w:right w:val="single" w:sz="4" w:space="0" w:color="000000"/>
            </w:tcBorders>
            <w:vAlign w:val="center"/>
          </w:tcPr>
          <w:p w14:paraId="15C3865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+2.6</w:t>
            </w:r>
          </w:p>
        </w:tc>
        <w:tc>
          <w:tcPr>
            <w:tcW w:w="1050" w:type="dxa"/>
            <w:tcBorders>
              <w:top w:val="single" w:sz="4" w:space="0" w:color="000000"/>
              <w:left w:val="single" w:sz="4" w:space="0" w:color="000000"/>
              <w:bottom w:val="single" w:sz="4" w:space="0" w:color="000000"/>
              <w:right w:val="single" w:sz="4" w:space="0" w:color="000000"/>
            </w:tcBorders>
            <w:vAlign w:val="center"/>
          </w:tcPr>
          <w:p w14:paraId="0905CBD1"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5.2</w:t>
            </w:r>
          </w:p>
        </w:tc>
        <w:tc>
          <w:tcPr>
            <w:tcW w:w="1000" w:type="dxa"/>
            <w:tcBorders>
              <w:top w:val="single" w:sz="4" w:space="0" w:color="000000"/>
              <w:left w:val="single" w:sz="4" w:space="0" w:color="000000"/>
              <w:bottom w:val="single" w:sz="4" w:space="0" w:color="000000"/>
              <w:right w:val="single" w:sz="4" w:space="0" w:color="000000"/>
            </w:tcBorders>
            <w:vAlign w:val="center"/>
          </w:tcPr>
          <w:p w14:paraId="3E68CF57"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92.8</w:t>
            </w:r>
          </w:p>
        </w:tc>
      </w:tr>
      <w:tr w:rsidR="00254DF6" w:rsidRPr="00F90251" w14:paraId="50817B41"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1F1830C9"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7E144736"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10,000</w:t>
            </w:r>
          </w:p>
        </w:tc>
        <w:tc>
          <w:tcPr>
            <w:tcW w:w="700" w:type="dxa"/>
            <w:tcBorders>
              <w:top w:val="single" w:sz="4" w:space="0" w:color="000000"/>
              <w:left w:val="single" w:sz="4" w:space="0" w:color="000000"/>
              <w:bottom w:val="single" w:sz="4" w:space="0" w:color="000000"/>
              <w:right w:val="single" w:sz="4" w:space="0" w:color="000000"/>
            </w:tcBorders>
            <w:vAlign w:val="center"/>
          </w:tcPr>
          <w:p w14:paraId="6AFCEBA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69</w:t>
            </w:r>
          </w:p>
        </w:tc>
        <w:tc>
          <w:tcPr>
            <w:tcW w:w="700" w:type="dxa"/>
            <w:tcBorders>
              <w:top w:val="single" w:sz="4" w:space="0" w:color="000000"/>
              <w:left w:val="single" w:sz="4" w:space="0" w:color="000000"/>
              <w:bottom w:val="single" w:sz="4" w:space="0" w:color="000000"/>
              <w:right w:val="single" w:sz="4" w:space="0" w:color="000000"/>
            </w:tcBorders>
            <w:vAlign w:val="center"/>
          </w:tcPr>
          <w:p w14:paraId="03E994C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80</w:t>
            </w:r>
          </w:p>
        </w:tc>
        <w:tc>
          <w:tcPr>
            <w:tcW w:w="1050" w:type="dxa"/>
            <w:tcBorders>
              <w:top w:val="single" w:sz="4" w:space="0" w:color="000000"/>
              <w:left w:val="single" w:sz="4" w:space="0" w:color="000000"/>
              <w:bottom w:val="single" w:sz="4" w:space="0" w:color="000000"/>
              <w:right w:val="single" w:sz="4" w:space="0" w:color="000000"/>
            </w:tcBorders>
            <w:vAlign w:val="center"/>
          </w:tcPr>
          <w:p w14:paraId="32FD5CCD"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62,825</w:t>
            </w:r>
          </w:p>
        </w:tc>
        <w:tc>
          <w:tcPr>
            <w:tcW w:w="850" w:type="dxa"/>
            <w:tcBorders>
              <w:top w:val="single" w:sz="4" w:space="0" w:color="000000"/>
              <w:left w:val="single" w:sz="4" w:space="0" w:color="000000"/>
              <w:bottom w:val="single" w:sz="4" w:space="0" w:color="000000"/>
              <w:right w:val="single" w:sz="4" w:space="0" w:color="000000"/>
            </w:tcBorders>
            <w:vAlign w:val="center"/>
          </w:tcPr>
          <w:p w14:paraId="3CDDFB6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+1.3</w:t>
            </w:r>
          </w:p>
        </w:tc>
        <w:tc>
          <w:tcPr>
            <w:tcW w:w="1050" w:type="dxa"/>
            <w:tcBorders>
              <w:top w:val="single" w:sz="4" w:space="0" w:color="000000"/>
              <w:left w:val="single" w:sz="4" w:space="0" w:color="000000"/>
              <w:bottom w:val="single" w:sz="4" w:space="0" w:color="000000"/>
              <w:right w:val="single" w:sz="4" w:space="0" w:color="000000"/>
            </w:tcBorders>
            <w:vAlign w:val="center"/>
          </w:tcPr>
          <w:p w14:paraId="2B01F9C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6.4</w:t>
            </w:r>
          </w:p>
        </w:tc>
        <w:tc>
          <w:tcPr>
            <w:tcW w:w="1000" w:type="dxa"/>
            <w:tcBorders>
              <w:top w:val="single" w:sz="4" w:space="0" w:color="000000"/>
              <w:left w:val="single" w:sz="4" w:space="0" w:color="000000"/>
              <w:bottom w:val="single" w:sz="4" w:space="0" w:color="000000"/>
              <w:right w:val="single" w:sz="4" w:space="0" w:color="000000"/>
            </w:tcBorders>
            <w:vAlign w:val="center"/>
          </w:tcPr>
          <w:p w14:paraId="05D827F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92.8</w:t>
            </w:r>
          </w:p>
        </w:tc>
      </w:tr>
      <w:tr w:rsidR="00254DF6" w:rsidRPr="00F90251" w14:paraId="532CCB57" w14:textId="77777777" w:rsidTr="00E21C70">
        <w:trPr>
          <w:cantSplit/>
          <w:trHeight w:val="300"/>
          <w:jc w:val="center"/>
        </w:trPr>
        <w:tc>
          <w:tcPr>
            <w:tcW w:w="1450" w:type="dxa"/>
            <w:vMerge/>
            <w:tcBorders>
              <w:top w:val="single" w:sz="4" w:space="0" w:color="000000"/>
              <w:left w:val="single" w:sz="4" w:space="0" w:color="000000"/>
              <w:bottom w:val="single" w:sz="4" w:space="0" w:color="000000"/>
              <w:right w:val="single" w:sz="4" w:space="0" w:color="000000"/>
            </w:tcBorders>
            <w:vAlign w:val="center"/>
          </w:tcPr>
          <w:p w14:paraId="12624E9F" w14:textId="77777777" w:rsidR="00254DF6" w:rsidRPr="00F90251" w:rsidRDefault="00254DF6" w:rsidP="00E21C70">
            <w:pPr>
              <w:pStyle w:val="Body"/>
              <w:keepNext/>
              <w:ind w:firstLine="0"/>
              <w:jc w:val="left"/>
              <w:rPr>
                <w:color w:val="000000"/>
                <w:sz w:val="18"/>
                <w:szCs w:val="18"/>
              </w:rPr>
            </w:pPr>
          </w:p>
        </w:tc>
        <w:tc>
          <w:tcPr>
            <w:tcW w:w="820" w:type="dxa"/>
            <w:tcBorders>
              <w:top w:val="single" w:sz="4" w:space="0" w:color="000000"/>
              <w:left w:val="single" w:sz="4" w:space="0" w:color="000000"/>
              <w:bottom w:val="single" w:sz="4" w:space="0" w:color="000000"/>
              <w:right w:val="single" w:sz="4" w:space="0" w:color="000000"/>
            </w:tcBorders>
            <w:vAlign w:val="center"/>
          </w:tcPr>
          <w:p w14:paraId="606EF3B7"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30,000</w:t>
            </w:r>
          </w:p>
        </w:tc>
        <w:tc>
          <w:tcPr>
            <w:tcW w:w="700" w:type="dxa"/>
            <w:tcBorders>
              <w:top w:val="single" w:sz="4" w:space="0" w:color="000000"/>
              <w:left w:val="single" w:sz="4" w:space="0" w:color="000000"/>
              <w:bottom w:val="single" w:sz="4" w:space="0" w:color="000000"/>
              <w:right w:val="single" w:sz="4" w:space="0" w:color="000000"/>
            </w:tcBorders>
            <w:vAlign w:val="center"/>
          </w:tcPr>
          <w:p w14:paraId="1B88980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69</w:t>
            </w:r>
          </w:p>
        </w:tc>
        <w:tc>
          <w:tcPr>
            <w:tcW w:w="700" w:type="dxa"/>
            <w:tcBorders>
              <w:top w:val="single" w:sz="4" w:space="0" w:color="000000"/>
              <w:left w:val="single" w:sz="4" w:space="0" w:color="000000"/>
              <w:bottom w:val="single" w:sz="4" w:space="0" w:color="000000"/>
              <w:right w:val="single" w:sz="4" w:space="0" w:color="000000"/>
            </w:tcBorders>
            <w:vAlign w:val="center"/>
          </w:tcPr>
          <w:p w14:paraId="623D61F7"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80</w:t>
            </w:r>
          </w:p>
        </w:tc>
        <w:tc>
          <w:tcPr>
            <w:tcW w:w="1050" w:type="dxa"/>
            <w:tcBorders>
              <w:top w:val="single" w:sz="4" w:space="0" w:color="000000"/>
              <w:left w:val="single" w:sz="4" w:space="0" w:color="000000"/>
              <w:bottom w:val="single" w:sz="4" w:space="0" w:color="000000"/>
              <w:right w:val="single" w:sz="4" w:space="0" w:color="000000"/>
            </w:tcBorders>
            <w:vAlign w:val="center"/>
          </w:tcPr>
          <w:p w14:paraId="67E4329F"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61,236</w:t>
            </w:r>
          </w:p>
        </w:tc>
        <w:tc>
          <w:tcPr>
            <w:tcW w:w="850" w:type="dxa"/>
            <w:tcBorders>
              <w:top w:val="single" w:sz="4" w:space="0" w:color="000000"/>
              <w:left w:val="single" w:sz="4" w:space="0" w:color="000000"/>
              <w:bottom w:val="single" w:sz="4" w:space="0" w:color="000000"/>
              <w:right w:val="single" w:sz="4" w:space="0" w:color="000000"/>
            </w:tcBorders>
            <w:vAlign w:val="center"/>
          </w:tcPr>
          <w:p w14:paraId="3876DB33"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−1.3</w:t>
            </w:r>
          </w:p>
        </w:tc>
        <w:tc>
          <w:tcPr>
            <w:tcW w:w="1050" w:type="dxa"/>
            <w:tcBorders>
              <w:top w:val="single" w:sz="4" w:space="0" w:color="000000"/>
              <w:left w:val="single" w:sz="4" w:space="0" w:color="000000"/>
              <w:bottom w:val="single" w:sz="4" w:space="0" w:color="000000"/>
              <w:right w:val="single" w:sz="4" w:space="0" w:color="000000"/>
            </w:tcBorders>
            <w:vAlign w:val="center"/>
          </w:tcPr>
          <w:p w14:paraId="42C3FA6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8.8</w:t>
            </w:r>
          </w:p>
        </w:tc>
        <w:tc>
          <w:tcPr>
            <w:tcW w:w="1000" w:type="dxa"/>
            <w:tcBorders>
              <w:top w:val="single" w:sz="4" w:space="0" w:color="000000"/>
              <w:left w:val="single" w:sz="4" w:space="0" w:color="000000"/>
              <w:bottom w:val="single" w:sz="4" w:space="0" w:color="000000"/>
              <w:right w:val="single" w:sz="4" w:space="0" w:color="000000"/>
            </w:tcBorders>
            <w:vAlign w:val="center"/>
          </w:tcPr>
          <w:p w14:paraId="736A6189"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92.8</w:t>
            </w:r>
          </w:p>
        </w:tc>
      </w:tr>
    </w:tbl>
    <w:p w14:paraId="7881AB22" w14:textId="77777777" w:rsidR="00254DF6" w:rsidRPr="00F90251" w:rsidRDefault="00254DF6" w:rsidP="0003786E">
      <w:pPr>
        <w:pStyle w:val="Body"/>
        <w:spacing w:after="240"/>
        <w:ind w:left="357" w:right="357" w:firstLine="0"/>
        <w:rPr>
          <w:sz w:val="18"/>
          <w:szCs w:val="18"/>
        </w:rPr>
      </w:pPr>
      <w:r w:rsidRPr="00F90251">
        <w:rPr>
          <w:color w:val="000000"/>
          <w:sz w:val="18"/>
          <w:szCs w:val="18"/>
        </w:rPr>
        <w:t>Note: Q* = optimal order quantity (rounded to 1 kg); FP = ordering frequency; TIC = total inventory cost (truncated to thousand IDR, as in Table 7); SS = safety stock (24 kg in all rows). Saving = reduction in TIC relative to the existing purchasing pattern, recalculated with the changed S or H. It is not shown for D because the existing pattern refers to the observed demand. Bold in the last column = maximum stock above the 100 kg storage capacity.</w:t>
      </w:r>
    </w:p>
    <w:p w14:paraId="218F3216" w14:textId="77777777" w:rsidR="00254DF6" w:rsidRPr="003D7A01" w:rsidRDefault="00254DF6" w:rsidP="00F90251">
      <w:pPr>
        <w:pStyle w:val="BodyText"/>
        <w:spacing w:after="0" w:line="276" w:lineRule="auto"/>
        <w:ind w:firstLine="567"/>
      </w:pPr>
      <w:r w:rsidRPr="003D7A01">
        <w:rPr>
          <w:rFonts w:eastAsia="Times New Roman"/>
          <w:sz w:val="20"/>
        </w:rPr>
        <w:t>Total inventory cost is much more sensitive to demand than to the cost parameters. Raw material cost accounts for about 90% of TIC, so TIC changes almost in proportion to D (−19.3% to +19.1% for ±20%), whereas ±20% changes in S or H alter TIC by no more than 1.3%. Across the S, H, and discount-limit scenarios the saving relative to the existing pattern stays positive and lies between 5.2% and 9.4%, compared with 7.6% in the base case (rounded to 8% in Table 7). The lowest value occurs when no discount is given. TIC then rises to IDR 63,619 thousand, but the optimized policy is still cheaper than the existing pattern, mainly because of the lower ordering cost.</w:t>
      </w:r>
    </w:p>
    <w:p w14:paraId="0D813DDA" w14:textId="77777777" w:rsidR="00254DF6" w:rsidRPr="003D7A01" w:rsidRDefault="00254DF6" w:rsidP="0003786E">
      <w:pPr>
        <w:keepNext/>
        <w:spacing w:before="120" w:after="0"/>
        <w:jc w:val="center"/>
      </w:pPr>
      <w:r w:rsidRPr="003D7A01">
        <w:rPr>
          <w:noProof/>
        </w:rPr>
        <w:drawing>
          <wp:inline distT="0" distB="0" distL="0" distR="0" wp14:anchorId="50E808BC" wp14:editId="70A406B6">
            <wp:extent cx="3746500" cy="2355850"/>
            <wp:effectExtent l="0" t="0" r="6350" b="6350"/>
            <wp:docPr id="1025375682" name="Picture 3" descr="Optimal order quantity as a function of percentage changes in D, S, and 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Optimal order quantity as a function of percentage changes in D, S, and 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46500" cy="2355850"/>
                    </a:xfrm>
                    <a:prstGeom prst="rect">
                      <a:avLst/>
                    </a:prstGeom>
                    <a:noFill/>
                    <a:ln>
                      <a:noFill/>
                    </a:ln>
                  </pic:spPr>
                </pic:pic>
              </a:graphicData>
            </a:graphic>
          </wp:inline>
        </w:drawing>
      </w:r>
    </w:p>
    <w:p w14:paraId="322E8F17" w14:textId="77777777" w:rsidR="00254DF6" w:rsidRPr="003D7A01" w:rsidRDefault="00254DF6" w:rsidP="0003786E">
      <w:pPr>
        <w:pStyle w:val="figurecaption"/>
        <w:tabs>
          <w:tab w:val="num" w:pos="0"/>
        </w:tabs>
        <w:suppressAutoHyphens/>
        <w:ind w:left="0" w:firstLine="0"/>
        <w:rPr>
          <w:rFonts w:ascii="Times New Roman" w:eastAsia="MS Mincho" w:hAnsi="Times New Roman"/>
        </w:rPr>
      </w:pPr>
      <w:r w:rsidRPr="003D7A01">
        <w:rPr>
          <w:rFonts w:ascii="Times New Roman" w:eastAsia="MS Mincho" w:hAnsi="Times New Roman"/>
        </w:rPr>
        <w:t>Effect of Changes in D, S, and H on the Optimal Order Quantity</w:t>
      </w:r>
    </w:p>
    <w:p w14:paraId="3F34365A" w14:textId="77777777" w:rsidR="00254DF6" w:rsidRPr="003D7A01" w:rsidRDefault="00254DF6" w:rsidP="00F90251">
      <w:pPr>
        <w:pStyle w:val="BodyText"/>
        <w:spacing w:after="0" w:line="276" w:lineRule="auto"/>
        <w:ind w:firstLine="567"/>
      </w:pPr>
      <w:r w:rsidRPr="003D7A01">
        <w:rPr>
          <w:rFonts w:eastAsia="Times New Roman"/>
          <w:sz w:val="20"/>
        </w:rPr>
        <w:t xml:space="preserve">Fig. 9 extends the analysis beyond ±20%. Two limits mark the region in which a quantity near 69 kg remains valid. The first is the discount threshold: Q* falls below 50 kg if H increases by about 89%, or if D or S decreases by </w:t>
      </w:r>
      <w:r w:rsidRPr="00F90251">
        <w:rPr>
          <w:color w:val="000000"/>
          <w:sz w:val="20"/>
          <w:szCs w:val="18"/>
        </w:rPr>
        <w:t>about</w:t>
      </w:r>
      <w:r w:rsidRPr="003D7A01">
        <w:rPr>
          <w:rFonts w:eastAsia="Times New Roman"/>
          <w:sz w:val="20"/>
        </w:rPr>
        <w:t xml:space="preserve"> 47%. The second is storage: with SS = 24 kg, the maximum stock reaches 100 kg when Q* = 76 kg, which happens if D or S rises by about 23% or H falls by about 19%. The holding cost needs particular care because it covers only the electricity used for lighting (Section 3.3). If the deterioration loss recorded in 2024 (IDR 161,500) were added to H, giving IDR 333,047, Q* would drop to 49 kg. This lies in the lower price level, and a comparison of TIC at 49 kg and at the 50 kg threshold, following Section 2.5, favors 50 kg (IDR 63,813 thousand against IDR 66,152 thousand).</w:t>
      </w:r>
    </w:p>
    <w:p w14:paraId="51160218" w14:textId="77777777" w:rsidR="00254DF6" w:rsidRPr="003D7A01" w:rsidRDefault="00254DF6" w:rsidP="00F90251">
      <w:pPr>
        <w:pStyle w:val="BodyText"/>
        <w:spacing w:after="0" w:line="276" w:lineRule="auto"/>
        <w:ind w:firstLine="567"/>
        <w:rPr>
          <w:rFonts w:eastAsia="Times New Roman"/>
          <w:sz w:val="20"/>
        </w:rPr>
      </w:pPr>
      <w:r w:rsidRPr="003D7A01">
        <w:rPr>
          <w:rFonts w:eastAsia="Times New Roman"/>
          <w:sz w:val="20"/>
        </w:rPr>
        <w:t xml:space="preserve">Table 10 gives the safety stock and reorder point for different service levels and lead times. Raising the service level from 90% to 99% </w:t>
      </w:r>
      <w:r w:rsidRPr="00F90251">
        <w:rPr>
          <w:color w:val="000000"/>
          <w:sz w:val="20"/>
          <w:szCs w:val="18"/>
        </w:rPr>
        <w:t>increases</w:t>
      </w:r>
      <w:r w:rsidRPr="003D7A01">
        <w:rPr>
          <w:rFonts w:eastAsia="Times New Roman"/>
          <w:sz w:val="20"/>
        </w:rPr>
        <w:t xml:space="preserve"> SS from 18 to 34 kg and ROP from 35 to 50 kg when L = 1 day. Lead time has a larger effect. At the 95% service level, ROP increases from 40 kg to 67 kg when L = 2 days and to 91 kg when L = 3 days, because both the demand during lead time and the safety stock become larger. Storage capacity is the binding constraint. With Q = 69 kg, the maximum stock exceeds 100 kg for L = 3 days at every service level, for L = 2 days at service levels of 95% or higher, and for the 99% service level even when L = 1 day.</w:t>
      </w:r>
    </w:p>
    <w:p w14:paraId="545B4608" w14:textId="77777777" w:rsidR="00254DF6" w:rsidRPr="00F90251" w:rsidRDefault="00254DF6" w:rsidP="00F90251">
      <w:pPr>
        <w:pStyle w:val="tablehead"/>
        <w:keepNext/>
        <w:numPr>
          <w:ilvl w:val="0"/>
          <w:numId w:val="0"/>
        </w:numPr>
        <w:spacing w:before="120"/>
        <w:rPr>
          <w:rFonts w:ascii="Times New Roman" w:hAnsi="Times New Roman"/>
        </w:rPr>
      </w:pPr>
      <w:r w:rsidRPr="00F90251">
        <w:rPr>
          <w:rFonts w:ascii="Times New Roman" w:hAnsi="Times New Roman"/>
          <w:b/>
          <w:bCs/>
        </w:rPr>
        <w:t xml:space="preserve">Table 10. </w:t>
      </w:r>
      <w:r w:rsidRPr="00F90251">
        <w:rPr>
          <w:rFonts w:ascii="Times New Roman" w:hAnsi="Times New Roman"/>
        </w:rPr>
        <w:t>Safety Stock and Reorder Point at Different Service Levels and Lead Times</w:t>
      </w:r>
    </w:p>
    <w:tbl>
      <w:tblPr>
        <w:tblW w:w="6400" w:type="dxa"/>
        <w:jc w:val="center"/>
        <w:tblLayout w:type="fixed"/>
        <w:tblLook w:val="04A0" w:firstRow="1" w:lastRow="0" w:firstColumn="1" w:lastColumn="0" w:noHBand="0" w:noVBand="1"/>
      </w:tblPr>
      <w:tblGrid>
        <w:gridCol w:w="1900"/>
        <w:gridCol w:w="1500"/>
        <w:gridCol w:w="1500"/>
        <w:gridCol w:w="1500"/>
      </w:tblGrid>
      <w:tr w:rsidR="00254DF6" w:rsidRPr="00F90251" w14:paraId="05FC5756" w14:textId="77777777" w:rsidTr="00F90251">
        <w:trPr>
          <w:cantSplit/>
          <w:trHeight w:val="300"/>
          <w:tblHeader/>
          <w:jc w:val="center"/>
        </w:trPr>
        <w:tc>
          <w:tcPr>
            <w:tcW w:w="1900" w:type="dxa"/>
            <w:vMerge w:val="restart"/>
            <w:tcBorders>
              <w:top w:val="single" w:sz="4" w:space="0" w:color="000000"/>
              <w:left w:val="single" w:sz="4" w:space="0" w:color="000000"/>
              <w:bottom w:val="single" w:sz="4" w:space="0" w:color="000000"/>
              <w:right w:val="single" w:sz="4" w:space="0" w:color="000000"/>
            </w:tcBorders>
            <w:vAlign w:val="center"/>
          </w:tcPr>
          <w:p w14:paraId="4C9A8FA6"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Service level (Z)</w:t>
            </w:r>
          </w:p>
        </w:tc>
        <w:tc>
          <w:tcPr>
            <w:tcW w:w="4500" w:type="dxa"/>
            <w:gridSpan w:val="3"/>
            <w:tcBorders>
              <w:top w:val="single" w:sz="4" w:space="0" w:color="000000"/>
              <w:left w:val="single" w:sz="4" w:space="0" w:color="000000"/>
              <w:bottom w:val="single" w:sz="4" w:space="0" w:color="000000"/>
              <w:right w:val="single" w:sz="4" w:space="0" w:color="000000"/>
            </w:tcBorders>
            <w:vAlign w:val="center"/>
          </w:tcPr>
          <w:p w14:paraId="6085BEFA"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Lead time</w:t>
            </w:r>
          </w:p>
        </w:tc>
      </w:tr>
      <w:tr w:rsidR="00254DF6" w:rsidRPr="00F90251" w14:paraId="1312A59F" w14:textId="77777777" w:rsidTr="00F90251">
        <w:trPr>
          <w:cantSplit/>
          <w:trHeight w:val="300"/>
          <w:tblHeader/>
          <w:jc w:val="center"/>
        </w:trPr>
        <w:tc>
          <w:tcPr>
            <w:tcW w:w="1900" w:type="dxa"/>
            <w:vMerge/>
            <w:tcBorders>
              <w:top w:val="single" w:sz="4" w:space="0" w:color="000000"/>
              <w:left w:val="single" w:sz="4" w:space="0" w:color="000000"/>
              <w:bottom w:val="single" w:sz="4" w:space="0" w:color="000000"/>
              <w:right w:val="single" w:sz="4" w:space="0" w:color="000000"/>
            </w:tcBorders>
            <w:vAlign w:val="center"/>
          </w:tcPr>
          <w:p w14:paraId="3CAF41E7" w14:textId="77777777" w:rsidR="00254DF6" w:rsidRPr="00F90251" w:rsidRDefault="00254DF6" w:rsidP="00E21C70">
            <w:pPr>
              <w:pStyle w:val="Body"/>
              <w:keepNext/>
              <w:ind w:firstLine="0"/>
              <w:jc w:val="center"/>
              <w:rPr>
                <w:color w:val="000000"/>
                <w:sz w:val="18"/>
                <w:szCs w:val="18"/>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2A801595"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L = 1 day</w:t>
            </w:r>
          </w:p>
        </w:tc>
        <w:tc>
          <w:tcPr>
            <w:tcW w:w="1500" w:type="dxa"/>
            <w:tcBorders>
              <w:top w:val="single" w:sz="4" w:space="0" w:color="000000"/>
              <w:left w:val="single" w:sz="4" w:space="0" w:color="000000"/>
              <w:bottom w:val="single" w:sz="4" w:space="0" w:color="000000"/>
              <w:right w:val="single" w:sz="4" w:space="0" w:color="000000"/>
            </w:tcBorders>
            <w:vAlign w:val="center"/>
          </w:tcPr>
          <w:p w14:paraId="0EC8C6BB"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L = 2 days</w:t>
            </w:r>
          </w:p>
        </w:tc>
        <w:tc>
          <w:tcPr>
            <w:tcW w:w="1500" w:type="dxa"/>
            <w:tcBorders>
              <w:top w:val="single" w:sz="4" w:space="0" w:color="000000"/>
              <w:left w:val="single" w:sz="4" w:space="0" w:color="000000"/>
              <w:bottom w:val="single" w:sz="4" w:space="0" w:color="000000"/>
              <w:right w:val="single" w:sz="4" w:space="0" w:color="000000"/>
            </w:tcBorders>
            <w:vAlign w:val="center"/>
          </w:tcPr>
          <w:p w14:paraId="477C9FFE"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L = 3 days</w:t>
            </w:r>
          </w:p>
        </w:tc>
      </w:tr>
      <w:tr w:rsidR="00254DF6" w:rsidRPr="00F90251" w14:paraId="7B8B6234" w14:textId="77777777" w:rsidTr="00F90251">
        <w:trPr>
          <w:cantSplit/>
          <w:trHeight w:val="300"/>
          <w:jc w:val="center"/>
        </w:trPr>
        <w:tc>
          <w:tcPr>
            <w:tcW w:w="1900" w:type="dxa"/>
            <w:tcBorders>
              <w:top w:val="single" w:sz="4" w:space="0" w:color="000000"/>
              <w:left w:val="single" w:sz="4" w:space="0" w:color="000000"/>
              <w:bottom w:val="single" w:sz="4" w:space="0" w:color="000000"/>
              <w:right w:val="single" w:sz="4" w:space="0" w:color="000000"/>
            </w:tcBorders>
            <w:vAlign w:val="center"/>
          </w:tcPr>
          <w:p w14:paraId="4D68902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90% (Z = 1.28)</w:t>
            </w:r>
          </w:p>
        </w:tc>
        <w:tc>
          <w:tcPr>
            <w:tcW w:w="1500" w:type="dxa"/>
            <w:tcBorders>
              <w:top w:val="single" w:sz="4" w:space="0" w:color="000000"/>
              <w:left w:val="single" w:sz="4" w:space="0" w:color="000000"/>
              <w:bottom w:val="single" w:sz="4" w:space="0" w:color="000000"/>
              <w:right w:val="single" w:sz="4" w:space="0" w:color="000000"/>
            </w:tcBorders>
            <w:vAlign w:val="center"/>
          </w:tcPr>
          <w:p w14:paraId="3F6E8494"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18 / 35</w:t>
            </w:r>
          </w:p>
        </w:tc>
        <w:tc>
          <w:tcPr>
            <w:tcW w:w="1500" w:type="dxa"/>
            <w:tcBorders>
              <w:top w:val="single" w:sz="4" w:space="0" w:color="000000"/>
              <w:left w:val="single" w:sz="4" w:space="0" w:color="000000"/>
              <w:bottom w:val="single" w:sz="4" w:space="0" w:color="000000"/>
              <w:right w:val="single" w:sz="4" w:space="0" w:color="000000"/>
            </w:tcBorders>
            <w:vAlign w:val="center"/>
          </w:tcPr>
          <w:p w14:paraId="0DE0F0E5"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26 / 59</w:t>
            </w:r>
          </w:p>
        </w:tc>
        <w:tc>
          <w:tcPr>
            <w:tcW w:w="1500" w:type="dxa"/>
            <w:tcBorders>
              <w:top w:val="single" w:sz="4" w:space="0" w:color="000000"/>
              <w:left w:val="single" w:sz="4" w:space="0" w:color="000000"/>
              <w:bottom w:val="single" w:sz="4" w:space="0" w:color="000000"/>
              <w:right w:val="single" w:sz="4" w:space="0" w:color="000000"/>
            </w:tcBorders>
            <w:vAlign w:val="center"/>
          </w:tcPr>
          <w:p w14:paraId="09862D7A"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32 / 82</w:t>
            </w:r>
          </w:p>
        </w:tc>
      </w:tr>
      <w:tr w:rsidR="00254DF6" w:rsidRPr="00F90251" w14:paraId="21145E52" w14:textId="77777777" w:rsidTr="00F90251">
        <w:trPr>
          <w:cantSplit/>
          <w:trHeight w:val="300"/>
          <w:jc w:val="center"/>
        </w:trPr>
        <w:tc>
          <w:tcPr>
            <w:tcW w:w="1900" w:type="dxa"/>
            <w:tcBorders>
              <w:top w:val="single" w:sz="4" w:space="0" w:color="000000"/>
              <w:left w:val="single" w:sz="4" w:space="0" w:color="000000"/>
              <w:bottom w:val="single" w:sz="4" w:space="0" w:color="000000"/>
              <w:right w:val="single" w:sz="4" w:space="0" w:color="000000"/>
            </w:tcBorders>
            <w:vAlign w:val="center"/>
          </w:tcPr>
          <w:p w14:paraId="2D4370A2"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95% (Z = 1.65)</w:t>
            </w:r>
          </w:p>
        </w:tc>
        <w:tc>
          <w:tcPr>
            <w:tcW w:w="1500" w:type="dxa"/>
            <w:tcBorders>
              <w:top w:val="single" w:sz="4" w:space="0" w:color="000000"/>
              <w:left w:val="single" w:sz="4" w:space="0" w:color="000000"/>
              <w:bottom w:val="single" w:sz="4" w:space="0" w:color="000000"/>
              <w:right w:val="single" w:sz="4" w:space="0" w:color="000000"/>
            </w:tcBorders>
            <w:vAlign w:val="center"/>
          </w:tcPr>
          <w:p w14:paraId="0F44C78D"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24 / 40</w:t>
            </w:r>
          </w:p>
        </w:tc>
        <w:tc>
          <w:tcPr>
            <w:tcW w:w="1500" w:type="dxa"/>
            <w:tcBorders>
              <w:top w:val="single" w:sz="4" w:space="0" w:color="000000"/>
              <w:left w:val="single" w:sz="4" w:space="0" w:color="000000"/>
              <w:bottom w:val="single" w:sz="4" w:space="0" w:color="000000"/>
              <w:right w:val="single" w:sz="4" w:space="0" w:color="000000"/>
            </w:tcBorders>
            <w:vAlign w:val="center"/>
          </w:tcPr>
          <w:p w14:paraId="5CA837C0"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34 / 67</w:t>
            </w:r>
          </w:p>
        </w:tc>
        <w:tc>
          <w:tcPr>
            <w:tcW w:w="1500" w:type="dxa"/>
            <w:tcBorders>
              <w:top w:val="single" w:sz="4" w:space="0" w:color="000000"/>
              <w:left w:val="single" w:sz="4" w:space="0" w:color="000000"/>
              <w:bottom w:val="single" w:sz="4" w:space="0" w:color="000000"/>
              <w:right w:val="single" w:sz="4" w:space="0" w:color="000000"/>
            </w:tcBorders>
            <w:vAlign w:val="center"/>
          </w:tcPr>
          <w:p w14:paraId="3C6F9E30"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41 / 91</w:t>
            </w:r>
          </w:p>
        </w:tc>
      </w:tr>
      <w:tr w:rsidR="00254DF6" w:rsidRPr="00F90251" w14:paraId="78AAD867" w14:textId="77777777" w:rsidTr="00F90251">
        <w:trPr>
          <w:cantSplit/>
          <w:trHeight w:val="300"/>
          <w:jc w:val="center"/>
        </w:trPr>
        <w:tc>
          <w:tcPr>
            <w:tcW w:w="1900" w:type="dxa"/>
            <w:tcBorders>
              <w:top w:val="single" w:sz="4" w:space="0" w:color="000000"/>
              <w:left w:val="single" w:sz="4" w:space="0" w:color="000000"/>
              <w:bottom w:val="single" w:sz="4" w:space="0" w:color="000000"/>
              <w:right w:val="single" w:sz="4" w:space="0" w:color="000000"/>
            </w:tcBorders>
            <w:vAlign w:val="center"/>
          </w:tcPr>
          <w:p w14:paraId="25734330"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97.5% (Z = 1.96)</w:t>
            </w:r>
          </w:p>
        </w:tc>
        <w:tc>
          <w:tcPr>
            <w:tcW w:w="1500" w:type="dxa"/>
            <w:tcBorders>
              <w:top w:val="single" w:sz="4" w:space="0" w:color="000000"/>
              <w:left w:val="single" w:sz="4" w:space="0" w:color="000000"/>
              <w:bottom w:val="single" w:sz="4" w:space="0" w:color="000000"/>
              <w:right w:val="single" w:sz="4" w:space="0" w:color="000000"/>
            </w:tcBorders>
            <w:vAlign w:val="center"/>
          </w:tcPr>
          <w:p w14:paraId="51E54248"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28 / 45</w:t>
            </w:r>
          </w:p>
        </w:tc>
        <w:tc>
          <w:tcPr>
            <w:tcW w:w="1500" w:type="dxa"/>
            <w:tcBorders>
              <w:top w:val="single" w:sz="4" w:space="0" w:color="000000"/>
              <w:left w:val="single" w:sz="4" w:space="0" w:color="000000"/>
              <w:bottom w:val="single" w:sz="4" w:space="0" w:color="000000"/>
              <w:right w:val="single" w:sz="4" w:space="0" w:color="000000"/>
            </w:tcBorders>
            <w:vAlign w:val="center"/>
          </w:tcPr>
          <w:p w14:paraId="632CA6AF"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40 / 73</w:t>
            </w:r>
          </w:p>
        </w:tc>
        <w:tc>
          <w:tcPr>
            <w:tcW w:w="1500" w:type="dxa"/>
            <w:tcBorders>
              <w:top w:val="single" w:sz="4" w:space="0" w:color="000000"/>
              <w:left w:val="single" w:sz="4" w:space="0" w:color="000000"/>
              <w:bottom w:val="single" w:sz="4" w:space="0" w:color="000000"/>
              <w:right w:val="single" w:sz="4" w:space="0" w:color="000000"/>
            </w:tcBorders>
            <w:vAlign w:val="center"/>
          </w:tcPr>
          <w:p w14:paraId="4303824F"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49 / 99</w:t>
            </w:r>
          </w:p>
        </w:tc>
      </w:tr>
      <w:tr w:rsidR="00254DF6" w:rsidRPr="00F90251" w14:paraId="1AF52F68" w14:textId="77777777" w:rsidTr="00F90251">
        <w:trPr>
          <w:cantSplit/>
          <w:trHeight w:val="300"/>
          <w:jc w:val="center"/>
        </w:trPr>
        <w:tc>
          <w:tcPr>
            <w:tcW w:w="1900" w:type="dxa"/>
            <w:tcBorders>
              <w:top w:val="single" w:sz="4" w:space="0" w:color="000000"/>
              <w:left w:val="single" w:sz="4" w:space="0" w:color="000000"/>
              <w:bottom w:val="single" w:sz="4" w:space="0" w:color="000000"/>
              <w:right w:val="single" w:sz="4" w:space="0" w:color="000000"/>
            </w:tcBorders>
            <w:vAlign w:val="center"/>
          </w:tcPr>
          <w:p w14:paraId="4D3CE11A" w14:textId="77777777" w:rsidR="00254DF6" w:rsidRPr="00F90251" w:rsidRDefault="00254DF6" w:rsidP="00E21C70">
            <w:pPr>
              <w:pStyle w:val="Body"/>
              <w:keepNext/>
              <w:ind w:firstLine="0"/>
              <w:jc w:val="center"/>
              <w:rPr>
                <w:color w:val="000000"/>
                <w:sz w:val="18"/>
                <w:szCs w:val="18"/>
              </w:rPr>
            </w:pPr>
            <w:r w:rsidRPr="00F90251">
              <w:rPr>
                <w:color w:val="000000"/>
                <w:sz w:val="18"/>
                <w:szCs w:val="18"/>
              </w:rPr>
              <w:t>99% (Z = 2.33)</w:t>
            </w:r>
          </w:p>
        </w:tc>
        <w:tc>
          <w:tcPr>
            <w:tcW w:w="1500" w:type="dxa"/>
            <w:tcBorders>
              <w:top w:val="single" w:sz="4" w:space="0" w:color="000000"/>
              <w:left w:val="single" w:sz="4" w:space="0" w:color="000000"/>
              <w:bottom w:val="single" w:sz="4" w:space="0" w:color="000000"/>
              <w:right w:val="single" w:sz="4" w:space="0" w:color="000000"/>
            </w:tcBorders>
            <w:vAlign w:val="center"/>
          </w:tcPr>
          <w:p w14:paraId="33947BB0"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34 / 50</w:t>
            </w:r>
          </w:p>
        </w:tc>
        <w:tc>
          <w:tcPr>
            <w:tcW w:w="1500" w:type="dxa"/>
            <w:tcBorders>
              <w:top w:val="single" w:sz="4" w:space="0" w:color="000000"/>
              <w:left w:val="single" w:sz="4" w:space="0" w:color="000000"/>
              <w:bottom w:val="single" w:sz="4" w:space="0" w:color="000000"/>
              <w:right w:val="single" w:sz="4" w:space="0" w:color="000000"/>
            </w:tcBorders>
            <w:vAlign w:val="center"/>
          </w:tcPr>
          <w:p w14:paraId="6259CF39"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47 / 81</w:t>
            </w:r>
          </w:p>
        </w:tc>
        <w:tc>
          <w:tcPr>
            <w:tcW w:w="1500" w:type="dxa"/>
            <w:tcBorders>
              <w:top w:val="single" w:sz="4" w:space="0" w:color="000000"/>
              <w:left w:val="single" w:sz="4" w:space="0" w:color="000000"/>
              <w:bottom w:val="single" w:sz="4" w:space="0" w:color="000000"/>
              <w:right w:val="single" w:sz="4" w:space="0" w:color="000000"/>
            </w:tcBorders>
            <w:vAlign w:val="center"/>
          </w:tcPr>
          <w:p w14:paraId="2A6FB811" w14:textId="77777777" w:rsidR="00254DF6" w:rsidRPr="00F90251" w:rsidRDefault="00254DF6" w:rsidP="00E21C70">
            <w:pPr>
              <w:pStyle w:val="Body"/>
              <w:keepNext/>
              <w:ind w:firstLine="0"/>
              <w:jc w:val="center"/>
              <w:rPr>
                <w:b/>
                <w:bCs/>
                <w:color w:val="000000"/>
                <w:sz w:val="18"/>
                <w:szCs w:val="18"/>
              </w:rPr>
            </w:pPr>
            <w:r w:rsidRPr="00F90251">
              <w:rPr>
                <w:b/>
                <w:bCs/>
                <w:color w:val="000000"/>
                <w:sz w:val="18"/>
                <w:szCs w:val="18"/>
              </w:rPr>
              <w:t>58 / 108</w:t>
            </w:r>
          </w:p>
        </w:tc>
      </w:tr>
    </w:tbl>
    <w:p w14:paraId="4B286A58" w14:textId="77777777" w:rsidR="00254DF6" w:rsidRPr="00F90251" w:rsidRDefault="00254DF6" w:rsidP="0003786E">
      <w:pPr>
        <w:pStyle w:val="Body"/>
        <w:spacing w:after="240"/>
        <w:ind w:left="357" w:right="357" w:firstLine="0"/>
        <w:rPr>
          <w:sz w:val="18"/>
          <w:szCs w:val="18"/>
        </w:rPr>
      </w:pPr>
      <w:r w:rsidRPr="00F90251">
        <w:rPr>
          <w:color w:val="000000"/>
          <w:sz w:val="18"/>
          <w:szCs w:val="18"/>
        </w:rPr>
        <w:t>Note: each cell shows SS / ROP in kg. Bold = maximum stock (Q* + SS, with Q* = 69 kg) above the 100 kg storage capacity. The base case is a 95% service level with L = 1 day.</w:t>
      </w:r>
    </w:p>
    <w:p w14:paraId="68848955" w14:textId="77777777" w:rsidR="00254DF6" w:rsidRPr="003D7A01" w:rsidRDefault="00254DF6" w:rsidP="00F90251">
      <w:pPr>
        <w:pStyle w:val="BodyText"/>
        <w:spacing w:after="0" w:line="276" w:lineRule="auto"/>
        <w:ind w:firstLine="567"/>
        <w:rPr>
          <w:b/>
          <w:bCs/>
          <w:sz w:val="20"/>
          <w:szCs w:val="18"/>
        </w:rPr>
      </w:pPr>
      <w:r w:rsidRPr="003D7A01">
        <w:rPr>
          <w:rFonts w:eastAsia="Times New Roman"/>
          <w:sz w:val="20"/>
        </w:rPr>
        <w:t>The order quantity is therefore stable against moderate errors in D, S, and H, while the buffer stock and the storage limit are much more sensitive to supplier lead time. For Tempe Galang, the 69 kg policy with a reorder point of 40 kg remains workable if deliveries take one day, but smaller orders or additional storage would be needed if deliveries are delayed by a further day.</w:t>
      </w:r>
    </w:p>
    <w:p w14:paraId="3F957A24" w14:textId="77777777" w:rsidR="00254DF6" w:rsidRPr="003D7A01" w:rsidRDefault="00254DF6" w:rsidP="0003786E">
      <w:pPr>
        <w:pStyle w:val="figurecaption"/>
        <w:numPr>
          <w:ilvl w:val="0"/>
          <w:numId w:val="0"/>
        </w:numPr>
        <w:ind w:left="360"/>
        <w:jc w:val="left"/>
        <w:rPr>
          <w:rFonts w:ascii="Times New Roman" w:eastAsia="MS Mincho" w:hAnsi="Times New Roman"/>
        </w:rPr>
      </w:pPr>
    </w:p>
    <w:p w14:paraId="647B7F02" w14:textId="77777777" w:rsidR="00254DF6" w:rsidRPr="003D7A01" w:rsidRDefault="00254DF6" w:rsidP="0003786E">
      <w:pPr>
        <w:pStyle w:val="BodyText"/>
        <w:ind w:firstLine="0"/>
        <w:rPr>
          <w:b/>
          <w:bCs/>
          <w:sz w:val="20"/>
          <w:szCs w:val="18"/>
        </w:rPr>
      </w:pPr>
      <w:r w:rsidRPr="003D7A01">
        <w:rPr>
          <w:b/>
          <w:bCs/>
          <w:sz w:val="20"/>
          <w:szCs w:val="18"/>
        </w:rPr>
        <w:t>3.9 Discussion</w:t>
      </w:r>
    </w:p>
    <w:p w14:paraId="70C457F3" w14:textId="77777777" w:rsidR="00254DF6" w:rsidRPr="003D7A01" w:rsidRDefault="00254DF6" w:rsidP="00F90251">
      <w:pPr>
        <w:pStyle w:val="BodyText"/>
        <w:spacing w:after="0" w:line="276" w:lineRule="auto"/>
        <w:ind w:firstLine="567"/>
        <w:rPr>
          <w:rFonts w:eastAsia="Times New Roman"/>
          <w:sz w:val="20"/>
        </w:rPr>
      </w:pPr>
      <w:r w:rsidRPr="003D7A01">
        <w:rPr>
          <w:rFonts w:eastAsia="Times New Roman"/>
          <w:sz w:val="20"/>
        </w:rPr>
        <w:t>The EOQ method is used to support decision-making in determining the most efficient raw material order quantity by considering historical demand data, ordering costs, and holding costs. The use of the EOQ method is justified by the occurrence of both overstock and stockouts in the SME. Raw material purchases from 2024 to 2025 show a significant discrepancy in quantities, resulting in excessive accumulation from June to October 2024 and an increase in raw material demand in 2025. This condition led to irregular raw material inventory levels, highlighting the need for a strategy to prevent stockouts and overstock.</w:t>
      </w:r>
    </w:p>
    <w:p w14:paraId="376EF885" w14:textId="77777777" w:rsidR="00254DF6" w:rsidRPr="003D7A01" w:rsidRDefault="00254DF6" w:rsidP="00F90251">
      <w:pPr>
        <w:pStyle w:val="BodyText"/>
        <w:spacing w:after="0" w:line="276" w:lineRule="auto"/>
        <w:ind w:firstLine="567"/>
        <w:rPr>
          <w:rFonts w:eastAsia="Times New Roman"/>
          <w:sz w:val="20"/>
        </w:rPr>
      </w:pPr>
      <w:r w:rsidRPr="003D7A01">
        <w:rPr>
          <w:rFonts w:eastAsia="Times New Roman"/>
          <w:sz w:val="20"/>
        </w:rPr>
        <w:t>The results of the EOQ calculation indicate that the optimal order quantity for raw materials is 69 kg per order (Table 4). This figure is 30 kg higher than the pre-optimization condition, which was only 39 kg. The increase in order quantity results in a reduction in ordering frequency from 141 times to 80 times within one period. This change provides benefits to the SME by significantly reducing total ordering costs.</w:t>
      </w:r>
    </w:p>
    <w:p w14:paraId="3740C7E1" w14:textId="2984EBDD" w:rsidR="00254DF6" w:rsidRPr="003D7A01" w:rsidRDefault="00254DF6" w:rsidP="00F90251">
      <w:pPr>
        <w:pStyle w:val="BodyText"/>
        <w:spacing w:after="0" w:line="276" w:lineRule="auto"/>
        <w:ind w:firstLine="567"/>
        <w:rPr>
          <w:rFonts w:eastAsia="Times New Roman"/>
          <w:sz w:val="20"/>
        </w:rPr>
      </w:pPr>
      <w:r w:rsidRPr="003D7A01">
        <w:rPr>
          <w:rFonts w:eastAsia="Times New Roman"/>
          <w:sz w:val="20"/>
        </w:rPr>
        <w:t xml:space="preserve">However, the EOQ approach has limitations, as it cannot fully address uncertainty in the raw material procurement process </w:t>
      </w:r>
      <w:sdt>
        <w:sdtPr>
          <w:rPr>
            <w:rFonts w:eastAsia="Times New Roman"/>
            <w:sz w:val="20"/>
          </w:rPr>
          <w:tag w:val="MENDELEY_CITATION_v3_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"/>
          <w:id w:val="730277347"/>
          <w:placeholder>
            <w:docPart w:val="DefaultPlaceholder_-1854013440"/>
          </w:placeholder>
        </w:sdtPr>
        <w:sdtEndPr>
          <w:rPr>
            <w:rFonts w:eastAsia="MS Mincho"/>
          </w:rPr>
        </w:sdtEndPr>
        <w:sdtContent>
          <w:r w:rsidR="00CC1D18" w:rsidRPr="003D7A01">
            <w:rPr>
              <w:color w:val="000000"/>
              <w:sz w:val="20"/>
            </w:rPr>
            <w:t>[23]</w:t>
          </w:r>
        </w:sdtContent>
      </w:sdt>
      <w:r w:rsidRPr="003D7A01">
        <w:rPr>
          <w:rFonts w:eastAsia="Times New Roman"/>
          <w:sz w:val="20"/>
        </w:rPr>
        <w:t xml:space="preserve">. Therefore, additional mechanisms such as safety stock (SS) and reorder point (ROP) are required. Safety stock is established to maintain raw material availability under fluctuating demand conditions, thereby minimizing the risk of stockouts </w:t>
      </w:r>
      <w:sdt>
        <w:sdtPr>
          <w:rPr>
            <w:rFonts w:eastAsia="Times New Roman"/>
            <w:sz w:val="20"/>
          </w:rPr>
          <w:tag w:val="MENDELEY_CITATION_v3_eyJjaXRhdGlvbklEIjoiTUVOREVMRVlfQ0lUQVRJT05fNmM2ZTBjOWYtNGIyNy00OTJmLTk3MzMtNjMyZjBlNzEyYzhmIiwicHJvcGVydGllcyI6eyJub3RlSW5kZXgiOjB9LCJpc0VkaXRlZCI6ZmFsc2UsIm1hbnVhbE92ZXJyaWRlIjp7ImNpdGVwcm9jVGV4dCI6IlsyNF0iLCJpc01hbnVhbGx5T3ZlcnJpZGRlbiI6ZmFsc2UsIm1hbnVhbE92ZXJyaWRlVGV4dCI6IiJ9LCJjaXRhdGlvbkl0ZW1zIjpbeyJpZCI6IjI1NTkyYjYxLTNjMTktNTI3NS1hNGZjLWExYjU3MjZmN2VjMyIsIml0ZW1EYXRhIjp7IklTQk4iOiI5Nzg5MzMyNTQ4MjM3IiwiSVNTTiI6IjE3NTMtMDI5Ni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"/>
          <w:id w:val="-19320766"/>
          <w:placeholder>
            <w:docPart w:val="DefaultPlaceholder_-1854013440"/>
          </w:placeholder>
        </w:sdtPr>
        <w:sdtEndPr>
          <w:rPr>
            <w:rFonts w:eastAsia="MS Mincho"/>
          </w:rPr>
        </w:sdtEndPr>
        <w:sdtContent>
          <w:r w:rsidR="00CC1D18" w:rsidRPr="003D7A01">
            <w:rPr>
              <w:color w:val="000000"/>
              <w:sz w:val="20"/>
            </w:rPr>
            <w:t>[24]</w:t>
          </w:r>
        </w:sdtContent>
      </w:sdt>
      <w:r w:rsidRPr="003D7A01">
        <w:rPr>
          <w:rFonts w:eastAsia="Times New Roman"/>
          <w:sz w:val="20"/>
        </w:rPr>
        <w:t xml:space="preserve">. Meanwhile, the reorder point is used to determine the minimum inventory level at which a reorder should be placed to ensure a continuous supply </w:t>
      </w:r>
      <w:sdt>
        <w:sdtPr>
          <w:rPr>
            <w:rFonts w:eastAsia="Times New Roman"/>
            <w:sz w:val="20"/>
          </w:rPr>
          <w:tag w:val="MENDELEY_CITATION_v3_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"/>
          <w:id w:val="-251505587"/>
          <w:placeholder>
            <w:docPart w:val="DefaultPlaceholder_-1854013440"/>
          </w:placeholder>
        </w:sdtPr>
        <w:sdtEndPr>
          <w:rPr>
            <w:rFonts w:eastAsia="MS Mincho"/>
          </w:rPr>
        </w:sdtEndPr>
        <w:sdtContent>
          <w:r w:rsidR="00CC1D18" w:rsidRPr="003D7A01">
            <w:rPr>
              <w:color w:val="000000"/>
              <w:sz w:val="20"/>
            </w:rPr>
            <w:t>[25]</w:t>
          </w:r>
        </w:sdtContent>
      </w:sdt>
      <w:r w:rsidRPr="003D7A01">
        <w:rPr>
          <w:rFonts w:eastAsia="Times New Roman"/>
          <w:sz w:val="20"/>
        </w:rPr>
        <w:t>. The calculation of inventory levels required to anticipate demand fluctuations is presented in Table 5.</w:t>
      </w:r>
    </w:p>
    <w:p w14:paraId="4B40DA1B" w14:textId="77777777" w:rsidR="00254DF6" w:rsidRPr="003D7A01" w:rsidRDefault="00254DF6" w:rsidP="00F90251">
      <w:pPr>
        <w:pStyle w:val="BodyText"/>
        <w:spacing w:after="0" w:line="276" w:lineRule="auto"/>
        <w:ind w:firstLine="567"/>
        <w:rPr>
          <w:rFonts w:eastAsia="Times New Roman"/>
          <w:sz w:val="20"/>
        </w:rPr>
      </w:pPr>
      <w:r w:rsidRPr="003D7A01">
        <w:rPr>
          <w:rFonts w:eastAsia="Times New Roman"/>
          <w:sz w:val="20"/>
        </w:rPr>
        <w:t>The calculation of safety stock (SS) and reorder point (ROP) shows that the SME must maintain a minimum inventory level (SS) of 24 kg/day in storage. When the inventory level drops to 40 kg (ROP), a reorder must be placed immediately to avoid the risk of stockouts due to potential supply delays. These calculations provide practical guidance for the SME in optimizing raw material inventory levels.</w:t>
      </w:r>
    </w:p>
    <w:p w14:paraId="11FC0FB5" w14:textId="77777777" w:rsidR="00254DF6" w:rsidRPr="003D7A01" w:rsidRDefault="00254DF6" w:rsidP="00F90251">
      <w:pPr>
        <w:pStyle w:val="BodyText"/>
        <w:spacing w:after="0" w:line="276" w:lineRule="auto"/>
        <w:ind w:firstLine="567"/>
        <w:rPr>
          <w:rFonts w:eastAsia="Times New Roman"/>
          <w:sz w:val="24"/>
          <w:szCs w:val="24"/>
        </w:rPr>
      </w:pPr>
      <w:r w:rsidRPr="003D7A01">
        <w:rPr>
          <w:rFonts w:eastAsia="Times New Roman"/>
          <w:sz w:val="20"/>
        </w:rPr>
        <w:t>The implementation of the EOQ method by incorporating quantity discounts provides a positive impact on cost efficiency. The optimization reduces the ordering frequency from 141 times to 80 times, with an optimal order quantity of 69 units. Ordering costs decrease by IDR 4,520,960 or 43%, while savings in raw material prices reach IDR 588,620. A comparison of total inventory costs (TIC) under existing conditions and after applying EOQ shows that overall inventory costs decrease by IDR 5,109,580, equivalent to an 8% reduction compared to pre-optimization conditions. These findings indicate that the application of the EOQ approach integrated with quantity discounts is effective in improving the efficiency of raw material inventory control systems in SMEs. This optimization not only reduces inventory costs but also supports the sustainability of raw material availability for the production process.</w:t>
      </w:r>
    </w:p>
    <w:p w14:paraId="0DF35AB0" w14:textId="77777777" w:rsidR="00254DF6" w:rsidRPr="00E16CB6" w:rsidRDefault="00254DF6" w:rsidP="00BF08BD">
      <w:pPr>
        <w:pStyle w:val="Heading1"/>
        <w:numPr>
          <w:ilvl w:val="0"/>
          <w:numId w:val="1"/>
        </w:numPr>
        <w:tabs>
          <w:tab w:val="left" w:pos="284"/>
        </w:tabs>
        <w:ind w:left="0" w:firstLine="0"/>
        <w:rPr>
          <w:rFonts w:ascii="Times New Roman" w:hAnsi="Times New Roman" w:cs="Times New Roman"/>
          <w:b/>
          <w:bCs/>
          <w:color w:val="000000" w:themeColor="text1"/>
          <w:sz w:val="22"/>
          <w:szCs w:val="22"/>
        </w:rPr>
      </w:pPr>
      <w:r w:rsidRPr="00E16CB6">
        <w:rPr>
          <w:rFonts w:ascii="Times New Roman" w:hAnsi="Times New Roman" w:cs="Times New Roman"/>
          <w:b/>
          <w:bCs/>
          <w:color w:val="000000" w:themeColor="text1"/>
          <w:sz w:val="22"/>
          <w:szCs w:val="22"/>
        </w:rPr>
        <w:t>Conclusion</w:t>
      </w:r>
    </w:p>
    <w:p w14:paraId="4BEAD3CD" w14:textId="77777777" w:rsidR="00254DF6" w:rsidRPr="003D7A01" w:rsidRDefault="00254DF6" w:rsidP="00F90251">
      <w:pPr>
        <w:pStyle w:val="BodyText"/>
        <w:spacing w:after="0" w:line="276" w:lineRule="auto"/>
        <w:ind w:firstLine="567"/>
        <w:rPr>
          <w:rFonts w:eastAsia="Times New Roman"/>
          <w:sz w:val="20"/>
        </w:rPr>
      </w:pPr>
      <w:r w:rsidRPr="003D7A01">
        <w:rPr>
          <w:rFonts w:eastAsia="Times New Roman"/>
          <w:sz w:val="20"/>
        </w:rPr>
        <w:t>The design of a raw material inventory control system at SME Tempe Galang using the EOQ method improves performance, particularly in reducing ordering frequency. The EOQ results indicate that the optimal order quantity is set at 69 kg per transaction. The implementation of this policy reduces the ordering frequency from 141 orders to 80 orders per period, thereby making the inventory management process more efficient. This study also provides a means to anticipate supply uncertainty by establishing a safety stock requirement of 24 kg per day and a reorder point of 40 kg.</w:t>
      </w:r>
    </w:p>
    <w:p w14:paraId="0ACC2C5A" w14:textId="77777777" w:rsidR="00254DF6" w:rsidRPr="003D7A01" w:rsidRDefault="00254DF6" w:rsidP="00F90251">
      <w:pPr>
        <w:pStyle w:val="BodyText"/>
        <w:spacing w:after="0" w:line="276" w:lineRule="auto"/>
        <w:ind w:firstLine="567"/>
        <w:rPr>
          <w:rFonts w:eastAsia="Times New Roman"/>
          <w:sz w:val="20"/>
        </w:rPr>
      </w:pPr>
      <w:r w:rsidRPr="003D7A01">
        <w:rPr>
          <w:rFonts w:eastAsia="Times New Roman"/>
          <w:sz w:val="20"/>
        </w:rPr>
        <w:t>The optimization of raw material inventory using EOQ demonstrates improved performance in reducing inventory cost inefficiencies. This is evidenced by an 8% reduction in inventory costs through the application of quantity discounts. This efficiency is achieved through reduced ordering frequency, increased order quantity per cycle, and the utilization of quantity discount incentives.</w:t>
      </w:r>
    </w:p>
    <w:p w14:paraId="55CE3A1B" w14:textId="77777777" w:rsidR="00254DF6" w:rsidRDefault="00254DF6" w:rsidP="00F90251">
      <w:pPr>
        <w:pStyle w:val="BodyText"/>
        <w:spacing w:after="0" w:line="276" w:lineRule="auto"/>
        <w:ind w:firstLine="567"/>
        <w:rPr>
          <w:rFonts w:eastAsia="Times New Roman"/>
          <w:sz w:val="20"/>
        </w:rPr>
      </w:pPr>
      <w:r w:rsidRPr="003D7A01">
        <w:rPr>
          <w:rFonts w:eastAsia="Times New Roman"/>
          <w:sz w:val="20"/>
        </w:rPr>
        <w:t>Future research may focus on developing inventory control models by comparing various methods, such as Lot-for-Lot (LFL), the Periodic Review System, and the Minimum-Maximum System, to identify the most efficient approach to inventory management. The scope of research can also be expanded by incorporating costs associated with stockouts, including lost sales, decreased customer trust, and emergency ordering costs, so that the estimation of total inventory cost becomes more comprehensive and realistic. In addition, model development can be directed toward integrating seasonal demand factors and lead time uncertainty, enabling the inventory control system design to be more adaptive to dynamic operational environments.</w:t>
      </w:r>
    </w:p>
    <w:p w14:paraId="3BEFF12C" w14:textId="77777777" w:rsidR="00E16CB6" w:rsidRPr="003D7A01" w:rsidRDefault="00E16CB6" w:rsidP="00F90251">
      <w:pPr>
        <w:pStyle w:val="BodyText"/>
        <w:spacing w:after="0" w:line="276" w:lineRule="auto"/>
        <w:ind w:firstLine="567"/>
        <w:rPr>
          <w:rFonts w:eastAsia="Times New Roman"/>
          <w:sz w:val="20"/>
        </w:rPr>
      </w:pPr>
    </w:p>
    <w:p w14:paraId="63980D9A" w14:textId="77777777" w:rsidR="00254DF6" w:rsidRPr="00F90251" w:rsidRDefault="00254DF6" w:rsidP="00F90251">
      <w:pPr>
        <w:pStyle w:val="Heading5"/>
        <w:keepNext w:val="0"/>
        <w:keepLines w:val="0"/>
        <w:tabs>
          <w:tab w:val="left" w:pos="360"/>
        </w:tabs>
        <w:spacing w:before="160" w:after="80" w:line="240" w:lineRule="auto"/>
        <w:jc w:val="center"/>
        <w:rPr>
          <w:rFonts w:ascii="Times New Roman" w:hAnsi="Times New Roman" w:cs="Times New Roman"/>
          <w:b/>
          <w:bCs/>
          <w:color w:val="000000" w:themeColor="text1"/>
        </w:rPr>
      </w:pPr>
      <w:r w:rsidRPr="00F90251">
        <w:rPr>
          <w:rFonts w:ascii="Times New Roman" w:hAnsi="Times New Roman" w:cs="Times New Roman"/>
          <w:b/>
          <w:bCs/>
          <w:color w:val="000000" w:themeColor="text1"/>
        </w:rPr>
        <w:t xml:space="preserve">Acknowledgment </w:t>
      </w:r>
    </w:p>
    <w:p w14:paraId="5B4EA715" w14:textId="77777777" w:rsidR="00254DF6" w:rsidRPr="003D7A01" w:rsidRDefault="00254DF6" w:rsidP="00F90251">
      <w:pPr>
        <w:spacing w:after="0" w:line="276" w:lineRule="auto"/>
        <w:ind w:firstLine="567"/>
        <w:jc w:val="both"/>
        <w:rPr>
          <w:rFonts w:ascii="Times New Roman" w:hAnsi="Times New Roman"/>
          <w:sz w:val="20"/>
          <w:szCs w:val="18"/>
        </w:rPr>
      </w:pPr>
      <w:r w:rsidRPr="003D7A01">
        <w:rPr>
          <w:rFonts w:ascii="Times New Roman" w:hAnsi="Times New Roman"/>
          <w:sz w:val="20"/>
          <w:szCs w:val="20"/>
        </w:rPr>
        <w:t>The authors would like to express their sincere gratitude to Tempe Galang industry, the research team, and all parties who have contributed to the preparation of this journal</w:t>
      </w:r>
      <w:r w:rsidRPr="003D7A01">
        <w:t>.</w:t>
      </w:r>
    </w:p>
    <w:p w14:paraId="736CBE2C" w14:textId="77777777" w:rsidR="00254DF6" w:rsidRPr="00F90251" w:rsidRDefault="00254DF6" w:rsidP="00F90251">
      <w:pPr>
        <w:pStyle w:val="Heading5"/>
        <w:keepNext w:val="0"/>
        <w:keepLines w:val="0"/>
        <w:tabs>
          <w:tab w:val="left" w:pos="360"/>
        </w:tabs>
        <w:spacing w:before="160" w:after="80" w:line="240" w:lineRule="auto"/>
        <w:jc w:val="center"/>
        <w:rPr>
          <w:rFonts w:ascii="Times New Roman" w:hAnsi="Times New Roman" w:cs="Times New Roman"/>
          <w:b/>
          <w:bCs/>
          <w:color w:val="000000" w:themeColor="text1"/>
        </w:rPr>
      </w:pPr>
      <w:r w:rsidRPr="00F90251">
        <w:rPr>
          <w:rFonts w:ascii="Times New Roman" w:hAnsi="Times New Roman" w:cs="Times New Roman"/>
          <w:b/>
          <w:bCs/>
          <w:color w:val="000000" w:themeColor="text1"/>
        </w:rPr>
        <w:t xml:space="preserve">Declarations </w:t>
      </w:r>
    </w:p>
    <w:p w14:paraId="2DC88D41" w14:textId="77777777" w:rsidR="00254DF6" w:rsidRPr="003D7A01" w:rsidRDefault="00254DF6" w:rsidP="00F90251">
      <w:pPr>
        <w:pStyle w:val="BodyText"/>
        <w:spacing w:after="0" w:line="276" w:lineRule="auto"/>
        <w:ind w:firstLine="0"/>
        <w:rPr>
          <w:sz w:val="20"/>
          <w:szCs w:val="18"/>
        </w:rPr>
      </w:pPr>
      <w:r w:rsidRPr="003D7A01">
        <w:rPr>
          <w:b/>
          <w:sz w:val="20"/>
          <w:szCs w:val="18"/>
        </w:rPr>
        <w:t xml:space="preserve">Author contribution. </w:t>
      </w:r>
      <w:r w:rsidRPr="003D7A01">
        <w:rPr>
          <w:sz w:val="20"/>
          <w:szCs w:val="18"/>
        </w:rPr>
        <w:t xml:space="preserve">Conceptualization, Dian Fajarika.; methodology, software, validation, formal analysis, investigation, resource, data curation, and writing—original draft preparation, </w:t>
      </w:r>
      <w:proofErr w:type="spellStart"/>
      <w:r w:rsidRPr="003D7A01">
        <w:rPr>
          <w:sz w:val="20"/>
          <w:szCs w:val="18"/>
        </w:rPr>
        <w:t>Dafa</w:t>
      </w:r>
      <w:proofErr w:type="spellEnd"/>
      <w:r w:rsidRPr="003D7A01">
        <w:rPr>
          <w:sz w:val="20"/>
          <w:szCs w:val="18"/>
        </w:rPr>
        <w:t xml:space="preserve"> Rizki.; writing—review, editing, and supervision, Sherin </w:t>
      </w:r>
      <w:proofErr w:type="spellStart"/>
      <w:r w:rsidRPr="003D7A01">
        <w:rPr>
          <w:sz w:val="20"/>
          <w:szCs w:val="18"/>
        </w:rPr>
        <w:t>Ramadhania</w:t>
      </w:r>
      <w:proofErr w:type="spellEnd"/>
      <w:r w:rsidRPr="003D7A01">
        <w:rPr>
          <w:sz w:val="20"/>
          <w:szCs w:val="18"/>
        </w:rPr>
        <w:t>. All authors have read and agreed to the published version of the manuscript.</w:t>
      </w:r>
    </w:p>
    <w:p w14:paraId="01DFC66B" w14:textId="77777777" w:rsidR="00254DF6" w:rsidRPr="003D7A01" w:rsidRDefault="00254DF6" w:rsidP="00F90251">
      <w:pPr>
        <w:pStyle w:val="BodyText"/>
        <w:spacing w:after="0" w:line="276" w:lineRule="auto"/>
        <w:ind w:firstLine="0"/>
        <w:rPr>
          <w:sz w:val="20"/>
          <w:szCs w:val="18"/>
        </w:rPr>
      </w:pPr>
      <w:r w:rsidRPr="003D7A01">
        <w:rPr>
          <w:b/>
          <w:sz w:val="20"/>
          <w:szCs w:val="18"/>
        </w:rPr>
        <w:t xml:space="preserve">Funding statement. </w:t>
      </w:r>
      <w:r w:rsidRPr="003D7A01">
        <w:rPr>
          <w:sz w:val="20"/>
          <w:szCs w:val="18"/>
        </w:rPr>
        <w:t>This research received no external funding sources.</w:t>
      </w:r>
    </w:p>
    <w:p w14:paraId="00CB9525" w14:textId="77777777" w:rsidR="00254DF6" w:rsidRPr="003D7A01" w:rsidRDefault="00254DF6" w:rsidP="00F90251">
      <w:pPr>
        <w:pStyle w:val="BodyText"/>
        <w:spacing w:after="0" w:line="276" w:lineRule="auto"/>
        <w:ind w:firstLine="0"/>
        <w:rPr>
          <w:sz w:val="20"/>
          <w:szCs w:val="18"/>
        </w:rPr>
      </w:pPr>
      <w:r w:rsidRPr="003D7A01">
        <w:rPr>
          <w:b/>
          <w:sz w:val="20"/>
          <w:szCs w:val="18"/>
        </w:rPr>
        <w:t xml:space="preserve">Conflict of interest. </w:t>
      </w:r>
      <w:r w:rsidRPr="003D7A01">
        <w:rPr>
          <w:sz w:val="20"/>
          <w:szCs w:val="18"/>
        </w:rPr>
        <w:t>The authors declare no conflict of interest.</w:t>
      </w:r>
    </w:p>
    <w:p w14:paraId="1D256E9C" w14:textId="77777777" w:rsidR="00254DF6" w:rsidRPr="003D7A01" w:rsidRDefault="00254DF6" w:rsidP="00F90251">
      <w:pPr>
        <w:pStyle w:val="BodyText"/>
        <w:spacing w:after="0" w:line="276" w:lineRule="auto"/>
        <w:ind w:firstLine="0"/>
        <w:rPr>
          <w:sz w:val="20"/>
          <w:szCs w:val="18"/>
        </w:rPr>
      </w:pPr>
      <w:r w:rsidRPr="003D7A01">
        <w:rPr>
          <w:b/>
          <w:sz w:val="20"/>
          <w:szCs w:val="18"/>
        </w:rPr>
        <w:t xml:space="preserve">Additional information. </w:t>
      </w:r>
      <w:r w:rsidRPr="003D7A01">
        <w:rPr>
          <w:sz w:val="20"/>
          <w:szCs w:val="18"/>
        </w:rPr>
        <w:t>No additional information is available for this paper.</w:t>
      </w:r>
    </w:p>
    <w:p w14:paraId="401109B1" w14:textId="77777777" w:rsidR="00254DF6" w:rsidRPr="00F90251" w:rsidRDefault="00254DF6" w:rsidP="00F90251">
      <w:pPr>
        <w:pStyle w:val="Heading5"/>
        <w:keepNext w:val="0"/>
        <w:keepLines w:val="0"/>
        <w:tabs>
          <w:tab w:val="left" w:pos="360"/>
        </w:tabs>
        <w:spacing w:before="160" w:after="80" w:line="240" w:lineRule="auto"/>
        <w:jc w:val="center"/>
        <w:rPr>
          <w:rFonts w:ascii="Times New Roman" w:hAnsi="Times New Roman" w:cs="Times New Roman"/>
          <w:b/>
          <w:bCs/>
          <w:color w:val="000000" w:themeColor="text1"/>
        </w:rPr>
      </w:pPr>
      <w:r w:rsidRPr="00F90251">
        <w:rPr>
          <w:rFonts w:ascii="Times New Roman" w:hAnsi="Times New Roman" w:cs="Times New Roman"/>
          <w:b/>
          <w:bCs/>
          <w:color w:val="000000" w:themeColor="text1"/>
        </w:rPr>
        <w:t xml:space="preserve">Data and </w:t>
      </w:r>
      <w:r w:rsidRPr="00F90251">
        <w:rPr>
          <w:rFonts w:ascii="Times New Roman" w:eastAsia="MS Mincho" w:hAnsi="Times New Roman" w:cs="Times New Roman"/>
          <w:b/>
          <w:bCs/>
          <w:color w:val="000000" w:themeColor="text1"/>
        </w:rPr>
        <w:t>Software</w:t>
      </w:r>
      <w:r w:rsidRPr="00F90251">
        <w:rPr>
          <w:rFonts w:ascii="Times New Roman" w:hAnsi="Times New Roman" w:cs="Times New Roman"/>
          <w:b/>
          <w:bCs/>
          <w:color w:val="000000" w:themeColor="text1"/>
        </w:rPr>
        <w:t xml:space="preserve"> Availability </w:t>
      </w:r>
      <w:r w:rsidRPr="00F90251">
        <w:rPr>
          <w:rFonts w:ascii="Times New Roman" w:eastAsia="MS Mincho" w:hAnsi="Times New Roman" w:cs="Times New Roman"/>
          <w:b/>
          <w:color w:val="000000"/>
        </w:rPr>
        <w:t>Statements</w:t>
      </w:r>
      <w:r w:rsidRPr="00F90251">
        <w:rPr>
          <w:rFonts w:ascii="Times New Roman" w:hAnsi="Times New Roman" w:cs="Times New Roman"/>
          <w:b/>
          <w:bCs/>
          <w:color w:val="000000" w:themeColor="text1"/>
        </w:rPr>
        <w:t xml:space="preserve"> </w:t>
      </w:r>
    </w:p>
    <w:p w14:paraId="612BAC99" w14:textId="77777777" w:rsidR="00E16CB6" w:rsidRDefault="00254DF6" w:rsidP="00E16CB6">
      <w:pPr>
        <w:spacing w:after="0" w:line="276" w:lineRule="auto"/>
        <w:ind w:firstLine="567"/>
        <w:jc w:val="both"/>
        <w:rPr>
          <w:rFonts w:ascii="Times New Roman" w:hAnsi="Times New Roman"/>
          <w:sz w:val="20"/>
          <w:szCs w:val="20"/>
        </w:rPr>
      </w:pPr>
      <w:r w:rsidRPr="003D7A01">
        <w:rPr>
          <w:rFonts w:ascii="Times New Roman" w:hAnsi="Times New Roman"/>
          <w:sz w:val="20"/>
          <w:szCs w:val="20"/>
        </w:rPr>
        <w:t>The data processing conducted by the authors was carried out using Microsoft Excel and Microsoft Word. Microsoft Excel was used for data processing and for designing a semi-automated inventory control system, while Microsoft Word was used to record data obtained from interviews with the SME owner. The following is a Google Drive link containing the data used in the preparation of this journal, which can be accessed</w:t>
      </w:r>
      <w:r w:rsidR="00E16CB6">
        <w:rPr>
          <w:rFonts w:ascii="Times New Roman" w:hAnsi="Times New Roman"/>
          <w:sz w:val="20"/>
          <w:szCs w:val="20"/>
        </w:rPr>
        <w:t xml:space="preserve"> </w:t>
      </w:r>
      <w:r w:rsidRPr="003D7A01">
        <w:rPr>
          <w:rFonts w:ascii="Times New Roman" w:hAnsi="Times New Roman"/>
          <w:sz w:val="20"/>
          <w:szCs w:val="20"/>
        </w:rPr>
        <w:t>publicly.</w:t>
      </w:r>
    </w:p>
    <w:p w14:paraId="5BDF35FA" w14:textId="2C0B6376" w:rsidR="00254DF6" w:rsidRPr="00E16CB6" w:rsidRDefault="00E16CB6" w:rsidP="00E16CB6">
      <w:pPr>
        <w:spacing w:after="0" w:line="276" w:lineRule="auto"/>
        <w:jc w:val="both"/>
        <w:rPr>
          <w:rFonts w:ascii="Times New Roman" w:hAnsi="Times New Roman"/>
          <w:sz w:val="20"/>
          <w:szCs w:val="20"/>
        </w:rPr>
      </w:pPr>
      <w:hyperlink r:id="rId16" w:history="1">
        <w:r w:rsidRPr="00E16CB6">
          <w:rPr>
            <w:rStyle w:val="Hyperlink"/>
            <w:rFonts w:ascii="Times New Roman" w:hAnsi="Times New Roman"/>
            <w:color w:val="auto"/>
            <w:sz w:val="20"/>
            <w:szCs w:val="18"/>
            <w:u w:val="none"/>
          </w:rPr>
          <w:t>https://drive.google.com/drive/folders/1BkbY9bszhbWbFm5n9kPyqMlWFAxLD24U?usp=sharing</w:t>
        </w:r>
      </w:hyperlink>
    </w:p>
    <w:p w14:paraId="6C752924" w14:textId="77777777" w:rsidR="00254DF6" w:rsidRPr="003D7A01" w:rsidRDefault="00254DF6" w:rsidP="00F90251">
      <w:pPr>
        <w:pStyle w:val="Heading5"/>
        <w:keepNext w:val="0"/>
        <w:keepLines w:val="0"/>
        <w:tabs>
          <w:tab w:val="left" w:pos="360"/>
        </w:tabs>
        <w:spacing w:before="160" w:after="80" w:line="240" w:lineRule="auto"/>
        <w:jc w:val="center"/>
        <w:rPr>
          <w:rFonts w:ascii="Times New Roman" w:eastAsia="MS Mincho" w:hAnsi="Times New Roman" w:cs="Times New Roman"/>
          <w:b/>
          <w:bCs/>
          <w:color w:val="000000" w:themeColor="text1"/>
        </w:rPr>
      </w:pPr>
      <w:r w:rsidRPr="00F90251">
        <w:rPr>
          <w:rFonts w:ascii="Junicode" w:eastAsia="MS Mincho" w:hAnsi="Junicode" w:cs="Times New Roman"/>
          <w:b/>
          <w:color w:val="000000"/>
          <w:szCs w:val="20"/>
        </w:rPr>
        <w:t>References</w:t>
      </w:r>
    </w:p>
    <w:sdt>
      <w:sdtPr>
        <w:rPr>
          <w:rFonts w:ascii="Times New Roman" w:eastAsia="Times New Roman" w:hAnsi="Times New Roman"/>
          <w:color w:val="000000"/>
          <w:sz w:val="20"/>
          <w:szCs w:val="20"/>
        </w:rPr>
        <w:tag w:val="MENDELEY_BIBLIOGRAPHY"/>
        <w:id w:val="-1293823270"/>
        <w:placeholder>
          <w:docPart w:val="DefaultPlaceholder_-1854013440"/>
        </w:placeholder>
      </w:sdtPr>
      <w:sdtEndPr>
        <w:rPr>
          <w:rFonts w:eastAsia="MS Mincho"/>
          <w:szCs w:val="16"/>
        </w:rPr>
      </w:sdtEndPr>
      <w:sdtContent>
        <w:p w14:paraId="368BC34C" w14:textId="77777777" w:rsidR="00D03084" w:rsidRPr="003D7A01" w:rsidRDefault="00D03084" w:rsidP="00F90251">
          <w:pPr>
            <w:autoSpaceDE w:val="0"/>
            <w:autoSpaceDN w:val="0"/>
            <w:spacing w:after="120"/>
            <w:ind w:left="-284" w:hanging="426"/>
            <w:jc w:val="both"/>
            <w:divId w:val="277764880"/>
            <w:rPr>
              <w:rFonts w:ascii="Times New Roman" w:eastAsia="Times New Roman" w:hAnsi="Times New Roman"/>
              <w:color w:val="000000"/>
              <w:sz w:val="20"/>
              <w:szCs w:val="24"/>
            </w:rPr>
          </w:pPr>
          <w:r w:rsidRPr="003D7A01">
            <w:rPr>
              <w:rFonts w:ascii="Times New Roman" w:eastAsia="Times New Roman" w:hAnsi="Times New Roman"/>
              <w:color w:val="000000"/>
              <w:sz w:val="20"/>
            </w:rPr>
            <w:t>[1]</w:t>
          </w:r>
          <w:r w:rsidRPr="003D7A01">
            <w:rPr>
              <w:rFonts w:ascii="Times New Roman" w:eastAsia="Times New Roman" w:hAnsi="Times New Roman"/>
              <w:color w:val="000000"/>
              <w:sz w:val="20"/>
            </w:rPr>
            <w:tab/>
            <w:t xml:space="preserve">R. D. </w:t>
          </w:r>
          <w:proofErr w:type="spellStart"/>
          <w:r w:rsidRPr="003D7A01">
            <w:rPr>
              <w:rFonts w:ascii="Times New Roman" w:eastAsia="Times New Roman" w:hAnsi="Times New Roman"/>
              <w:color w:val="000000"/>
              <w:sz w:val="20"/>
            </w:rPr>
            <w:t>Kristianti</w:t>
          </w:r>
          <w:proofErr w:type="spellEnd"/>
          <w:r w:rsidRPr="003D7A01">
            <w:rPr>
              <w:rFonts w:ascii="Times New Roman" w:eastAsia="Times New Roman" w:hAnsi="Times New Roman"/>
              <w:color w:val="000000"/>
              <w:sz w:val="20"/>
            </w:rPr>
            <w:t xml:space="preserve">, M. R. A. C. </w:t>
          </w:r>
          <w:proofErr w:type="spellStart"/>
          <w:r w:rsidRPr="003D7A01">
            <w:rPr>
              <w:rFonts w:ascii="Times New Roman" w:eastAsia="Times New Roman" w:hAnsi="Times New Roman"/>
              <w:color w:val="000000"/>
              <w:sz w:val="20"/>
            </w:rPr>
            <w:t>Chusen</w:t>
          </w:r>
          <w:proofErr w:type="spellEnd"/>
          <w:r w:rsidRPr="003D7A01">
            <w:rPr>
              <w:rFonts w:ascii="Times New Roman" w:eastAsia="Times New Roman" w:hAnsi="Times New Roman"/>
              <w:color w:val="000000"/>
              <w:sz w:val="20"/>
            </w:rPr>
            <w:t>, and M. Yasin, “</w:t>
          </w:r>
          <w:proofErr w:type="spellStart"/>
          <w:r w:rsidRPr="003D7A01">
            <w:rPr>
              <w:rFonts w:ascii="Times New Roman" w:eastAsia="Times New Roman" w:hAnsi="Times New Roman"/>
              <w:color w:val="000000"/>
              <w:sz w:val="20"/>
            </w:rPr>
            <w:t>Analisis</w:t>
          </w:r>
          <w:proofErr w:type="spellEnd"/>
          <w:r w:rsidRPr="003D7A01">
            <w:rPr>
              <w:rFonts w:ascii="Times New Roman" w:eastAsia="Times New Roman" w:hAnsi="Times New Roman"/>
              <w:color w:val="000000"/>
              <w:sz w:val="20"/>
            </w:rPr>
            <w:t xml:space="preserve"> Pola </w:t>
          </w:r>
          <w:proofErr w:type="spellStart"/>
          <w:r w:rsidRPr="003D7A01">
            <w:rPr>
              <w:rFonts w:ascii="Times New Roman" w:eastAsia="Times New Roman" w:hAnsi="Times New Roman"/>
              <w:color w:val="000000"/>
              <w:sz w:val="20"/>
            </w:rPr>
            <w:t>Spasial</w:t>
          </w:r>
          <w:proofErr w:type="spellEnd"/>
          <w:r w:rsidRPr="003D7A01">
            <w:rPr>
              <w:rFonts w:ascii="Times New Roman" w:eastAsia="Times New Roman" w:hAnsi="Times New Roman"/>
              <w:color w:val="000000"/>
              <w:sz w:val="20"/>
            </w:rPr>
            <w:t xml:space="preserve"> Industri Kecil </w:t>
          </w:r>
          <w:proofErr w:type="spellStart"/>
          <w:r w:rsidRPr="003D7A01">
            <w:rPr>
              <w:rFonts w:ascii="Times New Roman" w:eastAsia="Times New Roman" w:hAnsi="Times New Roman"/>
              <w:color w:val="000000"/>
              <w:sz w:val="20"/>
            </w:rPr>
            <w:t>Menengah</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Ikm</w:t>
          </w:r>
          <w:proofErr w:type="spellEnd"/>
          <w:r w:rsidRPr="003D7A01">
            <w:rPr>
              <w:rFonts w:ascii="Times New Roman" w:eastAsia="Times New Roman" w:hAnsi="Times New Roman"/>
              <w:color w:val="000000"/>
              <w:sz w:val="20"/>
            </w:rPr>
            <w:t xml:space="preserve">) Dan Industri Rumah </w:t>
          </w:r>
          <w:proofErr w:type="spellStart"/>
          <w:r w:rsidRPr="003D7A01">
            <w:rPr>
              <w:rFonts w:ascii="Times New Roman" w:eastAsia="Times New Roman" w:hAnsi="Times New Roman"/>
              <w:color w:val="000000"/>
              <w:sz w:val="20"/>
            </w:rPr>
            <w:t>Tangga</w:t>
          </w:r>
          <w:proofErr w:type="spellEnd"/>
          <w:r w:rsidRPr="003D7A01">
            <w:rPr>
              <w:rFonts w:ascii="Times New Roman" w:eastAsia="Times New Roman" w:hAnsi="Times New Roman"/>
              <w:color w:val="000000"/>
              <w:sz w:val="20"/>
            </w:rPr>
            <w:t xml:space="preserve"> (Irt) Di </w:t>
          </w:r>
          <w:proofErr w:type="spellStart"/>
          <w:r w:rsidRPr="003D7A01">
            <w:rPr>
              <w:rFonts w:ascii="Times New Roman" w:eastAsia="Times New Roman" w:hAnsi="Times New Roman"/>
              <w:color w:val="000000"/>
              <w:sz w:val="20"/>
            </w:rPr>
            <w:t>Kabupaten</w:t>
          </w:r>
          <w:proofErr w:type="spellEnd"/>
          <w:r w:rsidRPr="003D7A01">
            <w:rPr>
              <w:rFonts w:ascii="Times New Roman" w:eastAsia="Times New Roman" w:hAnsi="Times New Roman"/>
              <w:color w:val="000000"/>
              <w:sz w:val="20"/>
            </w:rPr>
            <w:t xml:space="preserve"> Dan Kota,” </w:t>
          </w:r>
          <w:r w:rsidRPr="003D7A01">
            <w:rPr>
              <w:rFonts w:ascii="Times New Roman" w:eastAsia="Times New Roman" w:hAnsi="Times New Roman"/>
              <w:i/>
              <w:iCs/>
              <w:color w:val="000000"/>
              <w:sz w:val="20"/>
            </w:rPr>
            <w:t xml:space="preserve">POPULER: </w:t>
          </w:r>
          <w:proofErr w:type="spellStart"/>
          <w:r w:rsidRPr="003D7A01">
            <w:rPr>
              <w:rFonts w:ascii="Times New Roman" w:eastAsia="Times New Roman" w:hAnsi="Times New Roman"/>
              <w:i/>
              <w:iCs/>
              <w:color w:val="000000"/>
              <w:sz w:val="20"/>
            </w:rPr>
            <w:t>Jurnal</w:t>
          </w:r>
          <w:proofErr w:type="spellEnd"/>
          <w:r w:rsidRPr="003D7A01">
            <w:rPr>
              <w:rFonts w:ascii="Times New Roman" w:eastAsia="Times New Roman" w:hAnsi="Times New Roman"/>
              <w:i/>
              <w:iCs/>
              <w:color w:val="000000"/>
              <w:sz w:val="20"/>
            </w:rPr>
            <w:t xml:space="preserve"> </w:t>
          </w:r>
          <w:proofErr w:type="spellStart"/>
          <w:r w:rsidRPr="003D7A01">
            <w:rPr>
              <w:rFonts w:ascii="Times New Roman" w:eastAsia="Times New Roman" w:hAnsi="Times New Roman"/>
              <w:i/>
              <w:iCs/>
              <w:color w:val="000000"/>
              <w:sz w:val="20"/>
            </w:rPr>
            <w:t>Penelitian</w:t>
          </w:r>
          <w:proofErr w:type="spellEnd"/>
          <w:r w:rsidRPr="003D7A01">
            <w:rPr>
              <w:rFonts w:ascii="Times New Roman" w:eastAsia="Times New Roman" w:hAnsi="Times New Roman"/>
              <w:i/>
              <w:iCs/>
              <w:color w:val="000000"/>
              <w:sz w:val="20"/>
            </w:rPr>
            <w:t xml:space="preserve"> </w:t>
          </w:r>
          <w:proofErr w:type="spellStart"/>
          <w:r w:rsidRPr="003D7A01">
            <w:rPr>
              <w:rFonts w:ascii="Times New Roman" w:eastAsia="Times New Roman" w:hAnsi="Times New Roman"/>
              <w:i/>
              <w:iCs/>
              <w:color w:val="000000"/>
              <w:sz w:val="20"/>
            </w:rPr>
            <w:t>Mahasiswa</w:t>
          </w:r>
          <w:proofErr w:type="spellEnd"/>
          <w:r w:rsidRPr="003D7A01">
            <w:rPr>
              <w:rFonts w:ascii="Times New Roman" w:eastAsia="Times New Roman" w:hAnsi="Times New Roman"/>
              <w:color w:val="000000"/>
              <w:sz w:val="20"/>
            </w:rPr>
            <w:t xml:space="preserve">, vol. 3, no. 4, pp. 55–66, 2023,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10.61722/jiem.v3i4.4380.</w:t>
          </w:r>
        </w:p>
        <w:p w14:paraId="2AD009F6" w14:textId="77777777" w:rsidR="00D03084" w:rsidRPr="003D7A01" w:rsidRDefault="00D03084" w:rsidP="00F90251">
          <w:pPr>
            <w:autoSpaceDE w:val="0"/>
            <w:autoSpaceDN w:val="0"/>
            <w:spacing w:after="120"/>
            <w:ind w:left="-284" w:hanging="426"/>
            <w:jc w:val="both"/>
            <w:divId w:val="1741246570"/>
            <w:rPr>
              <w:rFonts w:ascii="Times New Roman" w:eastAsia="Times New Roman" w:hAnsi="Times New Roman"/>
              <w:color w:val="000000"/>
              <w:sz w:val="20"/>
            </w:rPr>
          </w:pPr>
          <w:r w:rsidRPr="003D7A01">
            <w:rPr>
              <w:rFonts w:ascii="Times New Roman" w:eastAsia="Times New Roman" w:hAnsi="Times New Roman"/>
              <w:color w:val="000000"/>
              <w:sz w:val="20"/>
            </w:rPr>
            <w:t>[2]</w:t>
          </w:r>
          <w:r w:rsidRPr="003D7A01">
            <w:rPr>
              <w:rFonts w:ascii="Times New Roman" w:eastAsia="Times New Roman" w:hAnsi="Times New Roman"/>
              <w:color w:val="000000"/>
              <w:sz w:val="20"/>
            </w:rPr>
            <w:tab/>
            <w:t xml:space="preserve">Badan Pusat </w:t>
          </w:r>
          <w:proofErr w:type="spellStart"/>
          <w:r w:rsidRPr="003D7A01">
            <w:rPr>
              <w:rFonts w:ascii="Times New Roman" w:eastAsia="Times New Roman" w:hAnsi="Times New Roman"/>
              <w:color w:val="000000"/>
              <w:sz w:val="20"/>
            </w:rPr>
            <w:t>Statistik</w:t>
          </w:r>
          <w:proofErr w:type="spellEnd"/>
          <w:r w:rsidRPr="003D7A01">
            <w:rPr>
              <w:rFonts w:ascii="Times New Roman" w:eastAsia="Times New Roman" w:hAnsi="Times New Roman"/>
              <w:color w:val="000000"/>
              <w:sz w:val="20"/>
            </w:rPr>
            <w:t>, “</w:t>
          </w:r>
          <w:proofErr w:type="spellStart"/>
          <w:r w:rsidRPr="003D7A01">
            <w:rPr>
              <w:rFonts w:ascii="Times New Roman" w:eastAsia="Times New Roman" w:hAnsi="Times New Roman"/>
              <w:color w:val="000000"/>
              <w:sz w:val="20"/>
            </w:rPr>
            <w:t>Profil</w:t>
          </w:r>
          <w:proofErr w:type="spellEnd"/>
          <w:r w:rsidRPr="003D7A01">
            <w:rPr>
              <w:rFonts w:ascii="Times New Roman" w:eastAsia="Times New Roman" w:hAnsi="Times New Roman"/>
              <w:color w:val="000000"/>
              <w:sz w:val="20"/>
            </w:rPr>
            <w:t xml:space="preserve"> Industri </w:t>
          </w:r>
          <w:proofErr w:type="spellStart"/>
          <w:r w:rsidRPr="003D7A01">
            <w:rPr>
              <w:rFonts w:ascii="Times New Roman" w:eastAsia="Times New Roman" w:hAnsi="Times New Roman"/>
              <w:color w:val="000000"/>
              <w:sz w:val="20"/>
            </w:rPr>
            <w:t>Mikro</w:t>
          </w:r>
          <w:proofErr w:type="spellEnd"/>
          <w:r w:rsidRPr="003D7A01">
            <w:rPr>
              <w:rFonts w:ascii="Times New Roman" w:eastAsia="Times New Roman" w:hAnsi="Times New Roman"/>
              <w:color w:val="000000"/>
              <w:sz w:val="20"/>
            </w:rPr>
            <w:t xml:space="preserve"> dan Kecil 2023,” 2023.</w:t>
          </w:r>
        </w:p>
        <w:p w14:paraId="0A1AE38F" w14:textId="77777777" w:rsidR="00D03084" w:rsidRPr="003D7A01" w:rsidRDefault="00D03084" w:rsidP="00F90251">
          <w:pPr>
            <w:autoSpaceDE w:val="0"/>
            <w:autoSpaceDN w:val="0"/>
            <w:spacing w:after="120"/>
            <w:ind w:left="-284" w:hanging="426"/>
            <w:jc w:val="both"/>
            <w:divId w:val="456489452"/>
            <w:rPr>
              <w:rFonts w:ascii="Times New Roman" w:eastAsia="Times New Roman" w:hAnsi="Times New Roman"/>
              <w:color w:val="000000"/>
              <w:sz w:val="20"/>
            </w:rPr>
          </w:pPr>
          <w:r w:rsidRPr="003D7A01">
            <w:rPr>
              <w:rFonts w:ascii="Times New Roman" w:eastAsia="Times New Roman" w:hAnsi="Times New Roman"/>
              <w:color w:val="000000"/>
              <w:sz w:val="20"/>
            </w:rPr>
            <w:t>[3]</w:t>
          </w:r>
          <w:r w:rsidRPr="003D7A01">
            <w:rPr>
              <w:rFonts w:ascii="Times New Roman" w:eastAsia="Times New Roman" w:hAnsi="Times New Roman"/>
              <w:color w:val="000000"/>
              <w:sz w:val="20"/>
            </w:rPr>
            <w:tab/>
            <w:t xml:space="preserve">O. H. </w:t>
          </w:r>
          <w:proofErr w:type="spellStart"/>
          <w:r w:rsidRPr="003D7A01">
            <w:rPr>
              <w:rFonts w:ascii="Times New Roman" w:eastAsia="Times New Roman" w:hAnsi="Times New Roman"/>
              <w:color w:val="000000"/>
              <w:sz w:val="20"/>
            </w:rPr>
            <w:t>Kristiadi</w:t>
          </w:r>
          <w:proofErr w:type="spellEnd"/>
          <w:r w:rsidRPr="003D7A01">
            <w:rPr>
              <w:rFonts w:ascii="Times New Roman" w:eastAsia="Times New Roman" w:hAnsi="Times New Roman"/>
              <w:color w:val="000000"/>
              <w:sz w:val="20"/>
            </w:rPr>
            <w:t xml:space="preserve"> and A. T. </w:t>
          </w:r>
          <w:proofErr w:type="spellStart"/>
          <w:r w:rsidRPr="003D7A01">
            <w:rPr>
              <w:rFonts w:ascii="Times New Roman" w:eastAsia="Times New Roman" w:hAnsi="Times New Roman"/>
              <w:color w:val="000000"/>
              <w:sz w:val="20"/>
            </w:rPr>
            <w:t>Lunggani</w:t>
          </w:r>
          <w:proofErr w:type="spellEnd"/>
          <w:r w:rsidRPr="003D7A01">
            <w:rPr>
              <w:rFonts w:ascii="Times New Roman" w:eastAsia="Times New Roman" w:hAnsi="Times New Roman"/>
              <w:color w:val="000000"/>
              <w:sz w:val="20"/>
            </w:rPr>
            <w:t xml:space="preserve">, “Tempe </w:t>
          </w:r>
          <w:proofErr w:type="spellStart"/>
          <w:r w:rsidRPr="003D7A01">
            <w:rPr>
              <w:rFonts w:ascii="Times New Roman" w:eastAsia="Times New Roman" w:hAnsi="Times New Roman"/>
              <w:color w:val="000000"/>
              <w:sz w:val="20"/>
            </w:rPr>
            <w:t>Kacang</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sebagai</w:t>
          </w:r>
          <w:proofErr w:type="spellEnd"/>
          <w:r w:rsidRPr="003D7A01">
            <w:rPr>
              <w:rFonts w:ascii="Times New Roman" w:eastAsia="Times New Roman" w:hAnsi="Times New Roman"/>
              <w:color w:val="000000"/>
              <w:sz w:val="20"/>
            </w:rPr>
            <w:t xml:space="preserve"> Pangan </w:t>
          </w:r>
          <w:proofErr w:type="spellStart"/>
          <w:r w:rsidRPr="003D7A01">
            <w:rPr>
              <w:rFonts w:ascii="Times New Roman" w:eastAsia="Times New Roman" w:hAnsi="Times New Roman"/>
              <w:color w:val="000000"/>
              <w:sz w:val="20"/>
            </w:rPr>
            <w:t>Fermentasi</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Unggulan</w:t>
          </w:r>
          <w:proofErr w:type="spellEnd"/>
          <w:r w:rsidRPr="003D7A01">
            <w:rPr>
              <w:rFonts w:ascii="Times New Roman" w:eastAsia="Times New Roman" w:hAnsi="Times New Roman"/>
              <w:color w:val="000000"/>
              <w:sz w:val="20"/>
            </w:rPr>
            <w:t xml:space="preserve"> Khas Indonesia: Literature Review,” </w:t>
          </w:r>
          <w:proofErr w:type="spellStart"/>
          <w:r w:rsidRPr="003D7A01">
            <w:rPr>
              <w:rFonts w:ascii="Times New Roman" w:eastAsia="Times New Roman" w:hAnsi="Times New Roman"/>
              <w:i/>
              <w:iCs/>
              <w:color w:val="000000"/>
              <w:sz w:val="20"/>
            </w:rPr>
            <w:t>Jurnal</w:t>
          </w:r>
          <w:proofErr w:type="spellEnd"/>
          <w:r w:rsidRPr="003D7A01">
            <w:rPr>
              <w:rFonts w:ascii="Times New Roman" w:eastAsia="Times New Roman" w:hAnsi="Times New Roman"/>
              <w:i/>
              <w:iCs/>
              <w:color w:val="000000"/>
              <w:sz w:val="20"/>
            </w:rPr>
            <w:t xml:space="preserve"> </w:t>
          </w:r>
          <w:proofErr w:type="spellStart"/>
          <w:r w:rsidRPr="003D7A01">
            <w:rPr>
              <w:rFonts w:ascii="Times New Roman" w:eastAsia="Times New Roman" w:hAnsi="Times New Roman"/>
              <w:i/>
              <w:iCs/>
              <w:color w:val="000000"/>
              <w:sz w:val="20"/>
            </w:rPr>
            <w:t>Andaliman-Jurnal</w:t>
          </w:r>
          <w:proofErr w:type="spellEnd"/>
          <w:r w:rsidRPr="003D7A01">
            <w:rPr>
              <w:rFonts w:ascii="Times New Roman" w:eastAsia="Times New Roman" w:hAnsi="Times New Roman"/>
              <w:i/>
              <w:iCs/>
              <w:color w:val="000000"/>
              <w:sz w:val="20"/>
            </w:rPr>
            <w:t xml:space="preserve"> Gizi Pangan, Klinik Dan Masyarakat</w:t>
          </w:r>
          <w:r w:rsidRPr="003D7A01">
            <w:rPr>
              <w:rFonts w:ascii="Times New Roman" w:eastAsia="Times New Roman" w:hAnsi="Times New Roman"/>
              <w:color w:val="000000"/>
              <w:sz w:val="20"/>
            </w:rPr>
            <w:t xml:space="preserve">, vol. 2, no. 2, pp. 48–56, 2022,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https://doi.org/10.24114/jgpkm.v2i2.40334.</w:t>
          </w:r>
        </w:p>
        <w:p w14:paraId="44989979" w14:textId="77777777" w:rsidR="00D03084" w:rsidRPr="003D7A01" w:rsidRDefault="00D03084" w:rsidP="00F90251">
          <w:pPr>
            <w:autoSpaceDE w:val="0"/>
            <w:autoSpaceDN w:val="0"/>
            <w:spacing w:after="120"/>
            <w:ind w:left="-284" w:hanging="426"/>
            <w:jc w:val="both"/>
            <w:divId w:val="1696149114"/>
            <w:rPr>
              <w:rFonts w:ascii="Times New Roman" w:eastAsia="Times New Roman" w:hAnsi="Times New Roman"/>
              <w:color w:val="000000"/>
              <w:sz w:val="20"/>
            </w:rPr>
          </w:pPr>
          <w:r w:rsidRPr="003D7A01">
            <w:rPr>
              <w:rFonts w:ascii="Times New Roman" w:eastAsia="Times New Roman" w:hAnsi="Times New Roman"/>
              <w:color w:val="000000"/>
              <w:sz w:val="20"/>
            </w:rPr>
            <w:t>[4]</w:t>
          </w:r>
          <w:r w:rsidRPr="003D7A01">
            <w:rPr>
              <w:rFonts w:ascii="Times New Roman" w:eastAsia="Times New Roman" w:hAnsi="Times New Roman"/>
              <w:color w:val="000000"/>
              <w:sz w:val="20"/>
            </w:rPr>
            <w:tab/>
            <w:t xml:space="preserve">Badan Pusat </w:t>
          </w:r>
          <w:proofErr w:type="spellStart"/>
          <w:r w:rsidRPr="003D7A01">
            <w:rPr>
              <w:rFonts w:ascii="Times New Roman" w:eastAsia="Times New Roman" w:hAnsi="Times New Roman"/>
              <w:color w:val="000000"/>
              <w:sz w:val="20"/>
            </w:rPr>
            <w:t>Statistik</w:t>
          </w:r>
          <w:proofErr w:type="spellEnd"/>
          <w:r w:rsidRPr="003D7A01">
            <w:rPr>
              <w:rFonts w:ascii="Times New Roman" w:eastAsia="Times New Roman" w:hAnsi="Times New Roman"/>
              <w:color w:val="000000"/>
              <w:sz w:val="20"/>
            </w:rPr>
            <w:t xml:space="preserve">, “Rata-Rata </w:t>
          </w:r>
          <w:proofErr w:type="spellStart"/>
          <w:r w:rsidRPr="003D7A01">
            <w:rPr>
              <w:rFonts w:ascii="Times New Roman" w:eastAsia="Times New Roman" w:hAnsi="Times New Roman"/>
              <w:color w:val="000000"/>
              <w:sz w:val="20"/>
            </w:rPr>
            <w:t>Konsumsi</w:t>
          </w:r>
          <w:proofErr w:type="spellEnd"/>
          <w:r w:rsidRPr="003D7A01">
            <w:rPr>
              <w:rFonts w:ascii="Times New Roman" w:eastAsia="Times New Roman" w:hAnsi="Times New Roman"/>
              <w:color w:val="000000"/>
              <w:sz w:val="20"/>
            </w:rPr>
            <w:t xml:space="preserve"> per Kapita </w:t>
          </w:r>
          <w:proofErr w:type="spellStart"/>
          <w:r w:rsidRPr="003D7A01">
            <w:rPr>
              <w:rFonts w:ascii="Times New Roman" w:eastAsia="Times New Roman" w:hAnsi="Times New Roman"/>
              <w:color w:val="000000"/>
              <w:sz w:val="20"/>
            </w:rPr>
            <w:t>Seminggu</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Beberapa</w:t>
          </w:r>
          <w:proofErr w:type="spellEnd"/>
          <w:r w:rsidRPr="003D7A01">
            <w:rPr>
              <w:rFonts w:ascii="Times New Roman" w:eastAsia="Times New Roman" w:hAnsi="Times New Roman"/>
              <w:color w:val="000000"/>
              <w:sz w:val="20"/>
            </w:rPr>
            <w:t xml:space="preserve"> Macam Bahan </w:t>
          </w:r>
          <w:proofErr w:type="spellStart"/>
          <w:r w:rsidRPr="003D7A01">
            <w:rPr>
              <w:rFonts w:ascii="Times New Roman" w:eastAsia="Times New Roman" w:hAnsi="Times New Roman"/>
              <w:color w:val="000000"/>
              <w:sz w:val="20"/>
            </w:rPr>
            <w:t>Makanan</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Penting</w:t>
          </w:r>
          <w:proofErr w:type="spellEnd"/>
          <w:r w:rsidRPr="003D7A01">
            <w:rPr>
              <w:rFonts w:ascii="Times New Roman" w:eastAsia="Times New Roman" w:hAnsi="Times New Roman"/>
              <w:color w:val="000000"/>
              <w:sz w:val="20"/>
            </w:rPr>
            <w:t>,” Jakarta, 2024.</w:t>
          </w:r>
        </w:p>
        <w:p w14:paraId="2D449D76" w14:textId="77777777" w:rsidR="00D03084" w:rsidRPr="003D7A01" w:rsidRDefault="00D03084" w:rsidP="00F90251">
          <w:pPr>
            <w:autoSpaceDE w:val="0"/>
            <w:autoSpaceDN w:val="0"/>
            <w:spacing w:after="120"/>
            <w:ind w:left="-284" w:hanging="426"/>
            <w:jc w:val="both"/>
            <w:divId w:val="288361968"/>
            <w:rPr>
              <w:rFonts w:ascii="Times New Roman" w:eastAsia="Times New Roman" w:hAnsi="Times New Roman"/>
              <w:color w:val="000000"/>
              <w:sz w:val="20"/>
            </w:rPr>
          </w:pPr>
          <w:r w:rsidRPr="003D7A01">
            <w:rPr>
              <w:rFonts w:ascii="Times New Roman" w:eastAsia="Times New Roman" w:hAnsi="Times New Roman"/>
              <w:color w:val="000000"/>
              <w:sz w:val="20"/>
            </w:rPr>
            <w:t>[5]</w:t>
          </w:r>
          <w:r w:rsidRPr="003D7A01">
            <w:rPr>
              <w:rFonts w:ascii="Times New Roman" w:eastAsia="Times New Roman" w:hAnsi="Times New Roman"/>
              <w:color w:val="000000"/>
              <w:sz w:val="20"/>
            </w:rPr>
            <w:tab/>
            <w:t xml:space="preserve">I. </w:t>
          </w:r>
          <w:proofErr w:type="spellStart"/>
          <w:r w:rsidRPr="003D7A01">
            <w:rPr>
              <w:rFonts w:ascii="Times New Roman" w:eastAsia="Times New Roman" w:hAnsi="Times New Roman"/>
              <w:color w:val="000000"/>
              <w:sz w:val="20"/>
            </w:rPr>
            <w:t>wayan</w:t>
          </w:r>
          <w:proofErr w:type="spellEnd"/>
          <w:r w:rsidRPr="003D7A01">
            <w:rPr>
              <w:rFonts w:ascii="Times New Roman" w:eastAsia="Times New Roman" w:hAnsi="Times New Roman"/>
              <w:color w:val="000000"/>
              <w:sz w:val="20"/>
            </w:rPr>
            <w:t xml:space="preserve"> R. </w:t>
          </w:r>
          <w:proofErr w:type="spellStart"/>
          <w:r w:rsidRPr="003D7A01">
            <w:rPr>
              <w:rFonts w:ascii="Times New Roman" w:eastAsia="Times New Roman" w:hAnsi="Times New Roman"/>
              <w:color w:val="000000"/>
              <w:sz w:val="20"/>
            </w:rPr>
            <w:t>Aryanta</w:t>
          </w:r>
          <w:proofErr w:type="spellEnd"/>
          <w:r w:rsidRPr="003D7A01">
            <w:rPr>
              <w:rFonts w:ascii="Times New Roman" w:eastAsia="Times New Roman" w:hAnsi="Times New Roman"/>
              <w:color w:val="000000"/>
              <w:sz w:val="20"/>
            </w:rPr>
            <w:t xml:space="preserve">, “Manfaat Tempe </w:t>
          </w:r>
          <w:proofErr w:type="spellStart"/>
          <w:r w:rsidRPr="003D7A01">
            <w:rPr>
              <w:rFonts w:ascii="Times New Roman" w:eastAsia="Times New Roman" w:hAnsi="Times New Roman"/>
              <w:color w:val="000000"/>
              <w:sz w:val="20"/>
            </w:rPr>
            <w:t>Untuk</w:t>
          </w:r>
          <w:proofErr w:type="spellEnd"/>
          <w:r w:rsidRPr="003D7A01">
            <w:rPr>
              <w:rFonts w:ascii="Times New Roman" w:eastAsia="Times New Roman" w:hAnsi="Times New Roman"/>
              <w:color w:val="000000"/>
              <w:sz w:val="20"/>
            </w:rPr>
            <w:t xml:space="preserve"> Kesehatan,” </w:t>
          </w:r>
          <w:r w:rsidRPr="003D7A01">
            <w:rPr>
              <w:rFonts w:ascii="Times New Roman" w:eastAsia="Times New Roman" w:hAnsi="Times New Roman"/>
              <w:i/>
              <w:iCs/>
              <w:color w:val="000000"/>
              <w:sz w:val="20"/>
            </w:rPr>
            <w:t>Widya Kesehatan</w:t>
          </w:r>
          <w:r w:rsidRPr="003D7A01">
            <w:rPr>
              <w:rFonts w:ascii="Times New Roman" w:eastAsia="Times New Roman" w:hAnsi="Times New Roman"/>
              <w:color w:val="000000"/>
              <w:sz w:val="20"/>
            </w:rPr>
            <w:t xml:space="preserve">, vol. 2, no. 1, pp. 44–50, 2020,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10.32795/widyakesehatan.v2i1.609.</w:t>
          </w:r>
        </w:p>
        <w:p w14:paraId="3C597DED" w14:textId="77777777" w:rsidR="00D03084" w:rsidRPr="003D7A01" w:rsidRDefault="00D03084" w:rsidP="00F90251">
          <w:pPr>
            <w:autoSpaceDE w:val="0"/>
            <w:autoSpaceDN w:val="0"/>
            <w:spacing w:after="120"/>
            <w:ind w:left="-284" w:hanging="426"/>
            <w:jc w:val="both"/>
            <w:divId w:val="439031594"/>
            <w:rPr>
              <w:rFonts w:ascii="Times New Roman" w:eastAsia="Times New Roman" w:hAnsi="Times New Roman"/>
              <w:color w:val="000000"/>
              <w:sz w:val="20"/>
            </w:rPr>
          </w:pPr>
          <w:r w:rsidRPr="003D7A01">
            <w:rPr>
              <w:rFonts w:ascii="Times New Roman" w:eastAsia="Times New Roman" w:hAnsi="Times New Roman"/>
              <w:color w:val="000000"/>
              <w:sz w:val="20"/>
            </w:rPr>
            <w:t>[6]</w:t>
          </w:r>
          <w:r w:rsidRPr="003D7A01">
            <w:rPr>
              <w:rFonts w:ascii="Times New Roman" w:eastAsia="Times New Roman" w:hAnsi="Times New Roman"/>
              <w:color w:val="000000"/>
              <w:sz w:val="20"/>
            </w:rPr>
            <w:tab/>
            <w:t>H. Cahyadi, I. Ruwana, and S. A. Sari, “</w:t>
          </w:r>
          <w:proofErr w:type="spellStart"/>
          <w:r w:rsidRPr="003D7A01">
            <w:rPr>
              <w:rFonts w:ascii="Times New Roman" w:eastAsia="Times New Roman" w:hAnsi="Times New Roman"/>
              <w:color w:val="000000"/>
              <w:sz w:val="20"/>
            </w:rPr>
            <w:t>Analisis</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Persediaan</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Kedelai</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Sebagai</w:t>
          </w:r>
          <w:proofErr w:type="spellEnd"/>
          <w:r w:rsidRPr="003D7A01">
            <w:rPr>
              <w:rFonts w:ascii="Times New Roman" w:eastAsia="Times New Roman" w:hAnsi="Times New Roman"/>
              <w:color w:val="000000"/>
              <w:sz w:val="20"/>
            </w:rPr>
            <w:t xml:space="preserve"> Bahan Baku Tempe Dengan Metode Economic Order Quantity Pada </w:t>
          </w:r>
          <w:proofErr w:type="spellStart"/>
          <w:r w:rsidRPr="003D7A01">
            <w:rPr>
              <w:rFonts w:ascii="Times New Roman" w:eastAsia="Times New Roman" w:hAnsi="Times New Roman"/>
              <w:color w:val="000000"/>
              <w:sz w:val="20"/>
            </w:rPr>
            <w:t>Umkm</w:t>
          </w:r>
          <w:proofErr w:type="spellEnd"/>
          <w:r w:rsidRPr="003D7A01">
            <w:rPr>
              <w:rFonts w:ascii="Times New Roman" w:eastAsia="Times New Roman" w:hAnsi="Times New Roman"/>
              <w:color w:val="000000"/>
              <w:sz w:val="20"/>
            </w:rPr>
            <w:t xml:space="preserve"> X,” </w:t>
          </w:r>
          <w:proofErr w:type="spellStart"/>
          <w:r w:rsidRPr="003D7A01">
            <w:rPr>
              <w:rFonts w:ascii="Times New Roman" w:eastAsia="Times New Roman" w:hAnsi="Times New Roman"/>
              <w:i/>
              <w:iCs/>
              <w:color w:val="000000"/>
              <w:sz w:val="20"/>
            </w:rPr>
            <w:t>Jurnal</w:t>
          </w:r>
          <w:proofErr w:type="spellEnd"/>
          <w:r w:rsidRPr="003D7A01">
            <w:rPr>
              <w:rFonts w:ascii="Times New Roman" w:eastAsia="Times New Roman" w:hAnsi="Times New Roman"/>
              <w:i/>
              <w:iCs/>
              <w:color w:val="000000"/>
              <w:sz w:val="20"/>
            </w:rPr>
            <w:t xml:space="preserve"> </w:t>
          </w:r>
          <w:proofErr w:type="spellStart"/>
          <w:r w:rsidRPr="003D7A01">
            <w:rPr>
              <w:rFonts w:ascii="Times New Roman" w:eastAsia="Times New Roman" w:hAnsi="Times New Roman"/>
              <w:i/>
              <w:iCs/>
              <w:color w:val="000000"/>
              <w:sz w:val="20"/>
            </w:rPr>
            <w:t>Valtech</w:t>
          </w:r>
          <w:proofErr w:type="spellEnd"/>
          <w:r w:rsidRPr="003D7A01">
            <w:rPr>
              <w:rFonts w:ascii="Times New Roman" w:eastAsia="Times New Roman" w:hAnsi="Times New Roman"/>
              <w:color w:val="000000"/>
              <w:sz w:val="20"/>
            </w:rPr>
            <w:t xml:space="preserve">, vol. 7, no. 1, 2024,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https://ejournal.itn.ac.id/index.php/valtech/article/view/9285.</w:t>
          </w:r>
        </w:p>
        <w:p w14:paraId="5040C091" w14:textId="77777777" w:rsidR="00D03084" w:rsidRPr="003D7A01" w:rsidRDefault="00D03084" w:rsidP="00F90251">
          <w:pPr>
            <w:autoSpaceDE w:val="0"/>
            <w:autoSpaceDN w:val="0"/>
            <w:spacing w:after="120"/>
            <w:ind w:left="-284" w:hanging="426"/>
            <w:jc w:val="both"/>
            <w:divId w:val="1936598500"/>
            <w:rPr>
              <w:rFonts w:ascii="Times New Roman" w:eastAsia="Times New Roman" w:hAnsi="Times New Roman"/>
              <w:color w:val="000000"/>
              <w:sz w:val="20"/>
            </w:rPr>
          </w:pPr>
          <w:r w:rsidRPr="003D7A01">
            <w:rPr>
              <w:rFonts w:ascii="Times New Roman" w:eastAsia="Times New Roman" w:hAnsi="Times New Roman"/>
              <w:color w:val="000000"/>
              <w:sz w:val="20"/>
            </w:rPr>
            <w:t>[7]</w:t>
          </w:r>
          <w:r w:rsidRPr="003D7A01">
            <w:rPr>
              <w:rFonts w:ascii="Times New Roman" w:eastAsia="Times New Roman" w:hAnsi="Times New Roman"/>
              <w:color w:val="000000"/>
              <w:sz w:val="20"/>
            </w:rPr>
            <w:tab/>
            <w:t xml:space="preserve">C. K. Dewi, C. H. Rimbun, N. S. Adhini, D. A. </w:t>
          </w:r>
          <w:proofErr w:type="spellStart"/>
          <w:r w:rsidRPr="003D7A01">
            <w:rPr>
              <w:rFonts w:ascii="Times New Roman" w:eastAsia="Times New Roman" w:hAnsi="Times New Roman"/>
              <w:color w:val="000000"/>
              <w:sz w:val="20"/>
            </w:rPr>
            <w:t>Sipahutar</w:t>
          </w:r>
          <w:proofErr w:type="spellEnd"/>
          <w:r w:rsidRPr="003D7A01">
            <w:rPr>
              <w:rFonts w:ascii="Times New Roman" w:eastAsia="Times New Roman" w:hAnsi="Times New Roman"/>
              <w:color w:val="000000"/>
              <w:sz w:val="20"/>
            </w:rPr>
            <w:t>, and T. Anwar, “</w:t>
          </w:r>
          <w:proofErr w:type="spellStart"/>
          <w:r w:rsidRPr="003D7A01">
            <w:rPr>
              <w:rFonts w:ascii="Times New Roman" w:eastAsia="Times New Roman" w:hAnsi="Times New Roman"/>
              <w:color w:val="000000"/>
              <w:sz w:val="20"/>
            </w:rPr>
            <w:t>Optimasi</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Manajemen</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Rantai</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Pasok</w:t>
          </w:r>
          <w:proofErr w:type="spellEnd"/>
          <w:r w:rsidRPr="003D7A01">
            <w:rPr>
              <w:rFonts w:ascii="Times New Roman" w:eastAsia="Times New Roman" w:hAnsi="Times New Roman"/>
              <w:color w:val="000000"/>
              <w:sz w:val="20"/>
            </w:rPr>
            <w:t xml:space="preserve"> Tempe Dengan </w:t>
          </w:r>
          <w:proofErr w:type="spellStart"/>
          <w:r w:rsidRPr="003D7A01">
            <w:rPr>
              <w:rFonts w:ascii="Times New Roman" w:eastAsia="Times New Roman" w:hAnsi="Times New Roman"/>
              <w:color w:val="000000"/>
              <w:sz w:val="20"/>
            </w:rPr>
            <w:t>Pendekatan</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Eoq</w:t>
          </w:r>
          <w:proofErr w:type="spellEnd"/>
          <w:r w:rsidRPr="003D7A01">
            <w:rPr>
              <w:rFonts w:ascii="Times New Roman" w:eastAsia="Times New Roman" w:hAnsi="Times New Roman"/>
              <w:color w:val="000000"/>
              <w:sz w:val="20"/>
            </w:rPr>
            <w:t xml:space="preserve"> Di Desa </w:t>
          </w:r>
          <w:proofErr w:type="spellStart"/>
          <w:r w:rsidRPr="003D7A01">
            <w:rPr>
              <w:rFonts w:ascii="Times New Roman" w:eastAsia="Times New Roman" w:hAnsi="Times New Roman"/>
              <w:color w:val="000000"/>
              <w:sz w:val="20"/>
            </w:rPr>
            <w:t>Pliken</w:t>
          </w:r>
          <w:proofErr w:type="spellEnd"/>
          <w:r w:rsidRPr="003D7A01">
            <w:rPr>
              <w:rFonts w:ascii="Times New Roman" w:eastAsia="Times New Roman" w:hAnsi="Times New Roman"/>
              <w:color w:val="000000"/>
              <w:sz w:val="20"/>
            </w:rPr>
            <w:t xml:space="preserve"> Banyumas,” </w:t>
          </w:r>
          <w:r w:rsidRPr="003D7A01">
            <w:rPr>
              <w:rFonts w:ascii="Times New Roman" w:eastAsia="Times New Roman" w:hAnsi="Times New Roman"/>
              <w:i/>
              <w:iCs/>
              <w:color w:val="000000"/>
              <w:sz w:val="20"/>
            </w:rPr>
            <w:t>CENTIVE: Conference on Electrical Engineering, Informatics, Industrial Technology, and Creative Media 2024</w:t>
          </w:r>
          <w:r w:rsidRPr="003D7A01">
            <w:rPr>
              <w:rFonts w:ascii="Times New Roman" w:eastAsia="Times New Roman" w:hAnsi="Times New Roman"/>
              <w:color w:val="000000"/>
              <w:sz w:val="20"/>
            </w:rPr>
            <w:t>, vol. 4, no. 1, pp. 1124–1132, 2024.</w:t>
          </w:r>
        </w:p>
        <w:p w14:paraId="5F2861DA" w14:textId="77777777" w:rsidR="00D03084" w:rsidRPr="003D7A01" w:rsidRDefault="00D03084" w:rsidP="00F90251">
          <w:pPr>
            <w:autoSpaceDE w:val="0"/>
            <w:autoSpaceDN w:val="0"/>
            <w:spacing w:after="120"/>
            <w:ind w:left="-284" w:hanging="426"/>
            <w:jc w:val="both"/>
            <w:divId w:val="498079432"/>
            <w:rPr>
              <w:rFonts w:ascii="Times New Roman" w:eastAsia="Times New Roman" w:hAnsi="Times New Roman"/>
              <w:color w:val="000000"/>
              <w:sz w:val="20"/>
            </w:rPr>
          </w:pPr>
          <w:r w:rsidRPr="003D7A01">
            <w:rPr>
              <w:rFonts w:ascii="Times New Roman" w:eastAsia="Times New Roman" w:hAnsi="Times New Roman"/>
              <w:color w:val="000000"/>
              <w:sz w:val="20"/>
            </w:rPr>
            <w:t>[8]</w:t>
          </w:r>
          <w:r w:rsidRPr="003D7A01">
            <w:rPr>
              <w:rFonts w:ascii="Times New Roman" w:eastAsia="Times New Roman" w:hAnsi="Times New Roman"/>
              <w:color w:val="000000"/>
              <w:sz w:val="20"/>
            </w:rPr>
            <w:tab/>
            <w:t xml:space="preserve">A. E. L. Nyoko, R. P. C. </w:t>
          </w:r>
          <w:proofErr w:type="spellStart"/>
          <w:r w:rsidRPr="003D7A01">
            <w:rPr>
              <w:rFonts w:ascii="Times New Roman" w:eastAsia="Times New Roman" w:hAnsi="Times New Roman"/>
              <w:color w:val="000000"/>
              <w:sz w:val="20"/>
            </w:rPr>
            <w:t>Fanggidae</w:t>
          </w:r>
          <w:proofErr w:type="spellEnd"/>
          <w:r w:rsidRPr="003D7A01">
            <w:rPr>
              <w:rFonts w:ascii="Times New Roman" w:eastAsia="Times New Roman" w:hAnsi="Times New Roman"/>
              <w:color w:val="000000"/>
              <w:sz w:val="20"/>
            </w:rPr>
            <w:t xml:space="preserve">, and Y. Y. </w:t>
          </w:r>
          <w:proofErr w:type="spellStart"/>
          <w:r w:rsidRPr="003D7A01">
            <w:rPr>
              <w:rFonts w:ascii="Times New Roman" w:eastAsia="Times New Roman" w:hAnsi="Times New Roman"/>
              <w:color w:val="000000"/>
              <w:sz w:val="20"/>
            </w:rPr>
            <w:t>Marawali</w:t>
          </w:r>
          <w:proofErr w:type="spellEnd"/>
          <w:r w:rsidRPr="003D7A01">
            <w:rPr>
              <w:rFonts w:ascii="Times New Roman" w:eastAsia="Times New Roman" w:hAnsi="Times New Roman"/>
              <w:color w:val="000000"/>
              <w:sz w:val="20"/>
            </w:rPr>
            <w:t xml:space="preserve">, “The Forecasting of Raw Material Inventory in Support of The Continuity Production Process,” </w:t>
          </w:r>
          <w:r w:rsidRPr="003D7A01">
            <w:rPr>
              <w:rFonts w:ascii="Times New Roman" w:eastAsia="Times New Roman" w:hAnsi="Times New Roman"/>
              <w:i/>
              <w:iCs/>
              <w:color w:val="000000"/>
              <w:sz w:val="20"/>
            </w:rPr>
            <w:t>Journal of Management Small and Medium Enterprises (SME’s)</w:t>
          </w:r>
          <w:r w:rsidRPr="003D7A01">
            <w:rPr>
              <w:rFonts w:ascii="Times New Roman" w:eastAsia="Times New Roman" w:hAnsi="Times New Roman"/>
              <w:color w:val="000000"/>
              <w:sz w:val="20"/>
            </w:rPr>
            <w:t xml:space="preserve">, vol. 16, no. 3, pp. 1–11, 2023,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https://doi.org/10.35508/jom.v16i3.12633.</w:t>
          </w:r>
        </w:p>
        <w:p w14:paraId="2B3EC69B" w14:textId="77777777" w:rsidR="00D03084" w:rsidRPr="003D7A01" w:rsidRDefault="00D03084" w:rsidP="00F90251">
          <w:pPr>
            <w:autoSpaceDE w:val="0"/>
            <w:autoSpaceDN w:val="0"/>
            <w:spacing w:after="120"/>
            <w:ind w:left="-284" w:hanging="426"/>
            <w:jc w:val="both"/>
            <w:divId w:val="1692679627"/>
            <w:rPr>
              <w:rFonts w:ascii="Times New Roman" w:eastAsia="Times New Roman" w:hAnsi="Times New Roman"/>
              <w:color w:val="000000"/>
              <w:sz w:val="20"/>
            </w:rPr>
          </w:pPr>
          <w:r w:rsidRPr="003D7A01">
            <w:rPr>
              <w:rFonts w:ascii="Times New Roman" w:eastAsia="Times New Roman" w:hAnsi="Times New Roman"/>
              <w:color w:val="000000"/>
              <w:sz w:val="20"/>
            </w:rPr>
            <w:t>[9]</w:t>
          </w:r>
          <w:r w:rsidRPr="003D7A01">
            <w:rPr>
              <w:rFonts w:ascii="Times New Roman" w:eastAsia="Times New Roman" w:hAnsi="Times New Roman"/>
              <w:color w:val="000000"/>
              <w:sz w:val="20"/>
            </w:rPr>
            <w:tab/>
            <w:t>A. Ramadhani, Gazali, and S. Basuki, “</w:t>
          </w:r>
          <w:proofErr w:type="spellStart"/>
          <w:r w:rsidRPr="003D7A01">
            <w:rPr>
              <w:rFonts w:ascii="Times New Roman" w:eastAsia="Times New Roman" w:hAnsi="Times New Roman"/>
              <w:color w:val="000000"/>
              <w:sz w:val="20"/>
            </w:rPr>
            <w:t>Pengaruh</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Perencanan</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Produksi</w:t>
          </w:r>
          <w:proofErr w:type="spellEnd"/>
          <w:r w:rsidRPr="003D7A01">
            <w:rPr>
              <w:rFonts w:ascii="Times New Roman" w:eastAsia="Times New Roman" w:hAnsi="Times New Roman"/>
              <w:color w:val="000000"/>
              <w:sz w:val="20"/>
            </w:rPr>
            <w:t xml:space="preserve"> dan </w:t>
          </w:r>
          <w:proofErr w:type="spellStart"/>
          <w:r w:rsidRPr="003D7A01">
            <w:rPr>
              <w:rFonts w:ascii="Times New Roman" w:eastAsia="Times New Roman" w:hAnsi="Times New Roman"/>
              <w:color w:val="000000"/>
              <w:sz w:val="20"/>
            </w:rPr>
            <w:t>Persediaan</w:t>
          </w:r>
          <w:proofErr w:type="spellEnd"/>
          <w:r w:rsidRPr="003D7A01">
            <w:rPr>
              <w:rFonts w:ascii="Times New Roman" w:eastAsia="Times New Roman" w:hAnsi="Times New Roman"/>
              <w:color w:val="000000"/>
              <w:sz w:val="20"/>
            </w:rPr>
            <w:t xml:space="preserve"> Bahan Baku </w:t>
          </w:r>
          <w:proofErr w:type="spellStart"/>
          <w:r w:rsidRPr="003D7A01">
            <w:rPr>
              <w:rFonts w:ascii="Times New Roman" w:eastAsia="Times New Roman" w:hAnsi="Times New Roman"/>
              <w:color w:val="000000"/>
              <w:sz w:val="20"/>
            </w:rPr>
            <w:t>terhadap</w:t>
          </w:r>
          <w:proofErr w:type="spellEnd"/>
          <w:r w:rsidRPr="003D7A01">
            <w:rPr>
              <w:rFonts w:ascii="Times New Roman" w:eastAsia="Times New Roman" w:hAnsi="Times New Roman"/>
              <w:color w:val="000000"/>
              <w:sz w:val="20"/>
            </w:rPr>
            <w:t xml:space="preserve"> Hasil </w:t>
          </w:r>
          <w:proofErr w:type="spellStart"/>
          <w:r w:rsidRPr="003D7A01">
            <w:rPr>
              <w:rFonts w:ascii="Times New Roman" w:eastAsia="Times New Roman" w:hAnsi="Times New Roman"/>
              <w:color w:val="000000"/>
              <w:sz w:val="20"/>
            </w:rPr>
            <w:t>Produksi</w:t>
          </w:r>
          <w:proofErr w:type="spellEnd"/>
          <w:r w:rsidRPr="003D7A01">
            <w:rPr>
              <w:rFonts w:ascii="Times New Roman" w:eastAsia="Times New Roman" w:hAnsi="Times New Roman"/>
              <w:color w:val="000000"/>
              <w:sz w:val="20"/>
            </w:rPr>
            <w:t xml:space="preserve"> pada PT Victory Offset Prima,” </w:t>
          </w:r>
          <w:r w:rsidRPr="003D7A01">
            <w:rPr>
              <w:rFonts w:ascii="Times New Roman" w:eastAsia="Times New Roman" w:hAnsi="Times New Roman"/>
              <w:i/>
              <w:iCs/>
              <w:color w:val="000000"/>
              <w:sz w:val="20"/>
            </w:rPr>
            <w:t xml:space="preserve">JUBISMA: </w:t>
          </w:r>
          <w:proofErr w:type="spellStart"/>
          <w:r w:rsidRPr="003D7A01">
            <w:rPr>
              <w:rFonts w:ascii="Times New Roman" w:eastAsia="Times New Roman" w:hAnsi="Times New Roman"/>
              <w:i/>
              <w:iCs/>
              <w:color w:val="000000"/>
              <w:sz w:val="20"/>
            </w:rPr>
            <w:t>Jurnal</w:t>
          </w:r>
          <w:proofErr w:type="spellEnd"/>
          <w:r w:rsidRPr="003D7A01">
            <w:rPr>
              <w:rFonts w:ascii="Times New Roman" w:eastAsia="Times New Roman" w:hAnsi="Times New Roman"/>
              <w:i/>
              <w:iCs/>
              <w:color w:val="000000"/>
              <w:sz w:val="20"/>
            </w:rPr>
            <w:t xml:space="preserve"> </w:t>
          </w:r>
          <w:proofErr w:type="spellStart"/>
          <w:r w:rsidRPr="003D7A01">
            <w:rPr>
              <w:rFonts w:ascii="Times New Roman" w:eastAsia="Times New Roman" w:hAnsi="Times New Roman"/>
              <w:i/>
              <w:iCs/>
              <w:color w:val="000000"/>
              <w:sz w:val="20"/>
            </w:rPr>
            <w:t>Bisnis</w:t>
          </w:r>
          <w:proofErr w:type="spellEnd"/>
          <w:r w:rsidRPr="003D7A01">
            <w:rPr>
              <w:rFonts w:ascii="Times New Roman" w:eastAsia="Times New Roman" w:hAnsi="Times New Roman"/>
              <w:i/>
              <w:iCs/>
              <w:color w:val="000000"/>
              <w:sz w:val="20"/>
            </w:rPr>
            <w:t xml:space="preserve"> </w:t>
          </w:r>
          <w:proofErr w:type="spellStart"/>
          <w:r w:rsidRPr="003D7A01">
            <w:rPr>
              <w:rFonts w:ascii="Times New Roman" w:eastAsia="Times New Roman" w:hAnsi="Times New Roman"/>
              <w:i/>
              <w:iCs/>
              <w:color w:val="000000"/>
              <w:sz w:val="20"/>
            </w:rPr>
            <w:t>Manajemen</w:t>
          </w:r>
          <w:proofErr w:type="spellEnd"/>
          <w:r w:rsidRPr="003D7A01">
            <w:rPr>
              <w:rFonts w:ascii="Times New Roman" w:eastAsia="Times New Roman" w:hAnsi="Times New Roman"/>
              <w:i/>
              <w:iCs/>
              <w:color w:val="000000"/>
              <w:sz w:val="20"/>
            </w:rPr>
            <w:t xml:space="preserve"> dan </w:t>
          </w:r>
          <w:proofErr w:type="spellStart"/>
          <w:r w:rsidRPr="003D7A01">
            <w:rPr>
              <w:rFonts w:ascii="Times New Roman" w:eastAsia="Times New Roman" w:hAnsi="Times New Roman"/>
              <w:i/>
              <w:iCs/>
              <w:color w:val="000000"/>
              <w:sz w:val="20"/>
            </w:rPr>
            <w:t>Akuntansi</w:t>
          </w:r>
          <w:proofErr w:type="spellEnd"/>
          <w:r w:rsidRPr="003D7A01">
            <w:rPr>
              <w:rFonts w:ascii="Times New Roman" w:eastAsia="Times New Roman" w:hAnsi="Times New Roman"/>
              <w:color w:val="000000"/>
              <w:sz w:val="20"/>
            </w:rPr>
            <w:t xml:space="preserve">, vol. 6, no. 1, 2024,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https://doi.org/10.58217/jubisma.v6i1.142.</w:t>
          </w:r>
        </w:p>
        <w:p w14:paraId="2255FD0E" w14:textId="3AC1110D" w:rsidR="00D03084" w:rsidRPr="003D7A01" w:rsidRDefault="00D03084" w:rsidP="00F90251">
          <w:pPr>
            <w:autoSpaceDE w:val="0"/>
            <w:autoSpaceDN w:val="0"/>
            <w:spacing w:after="120"/>
            <w:ind w:left="-284" w:hanging="426"/>
            <w:jc w:val="both"/>
            <w:divId w:val="263001540"/>
            <w:rPr>
              <w:rFonts w:ascii="Times New Roman" w:eastAsia="Times New Roman" w:hAnsi="Times New Roman"/>
              <w:color w:val="000000"/>
              <w:sz w:val="20"/>
            </w:rPr>
          </w:pPr>
          <w:r w:rsidRPr="003D7A01">
            <w:rPr>
              <w:rFonts w:ascii="Times New Roman" w:eastAsia="Times New Roman" w:hAnsi="Times New Roman"/>
              <w:color w:val="000000"/>
              <w:sz w:val="20"/>
            </w:rPr>
            <w:t>[10]</w:t>
          </w:r>
          <w:r w:rsidRPr="003D7A01">
            <w:rPr>
              <w:rFonts w:ascii="Times New Roman" w:eastAsia="Times New Roman" w:hAnsi="Times New Roman"/>
              <w:color w:val="000000"/>
              <w:sz w:val="20"/>
            </w:rPr>
            <w:tab/>
            <w:t xml:space="preserve">Y. A. Syamsiah, D. S. </w:t>
          </w:r>
          <w:proofErr w:type="spellStart"/>
          <w:r w:rsidRPr="003D7A01">
            <w:rPr>
              <w:rFonts w:ascii="Times New Roman" w:eastAsia="Times New Roman" w:hAnsi="Times New Roman"/>
              <w:color w:val="000000"/>
              <w:sz w:val="20"/>
            </w:rPr>
            <w:t>Donoriyanto</w:t>
          </w:r>
          <w:proofErr w:type="spellEnd"/>
          <w:r w:rsidRPr="003D7A01">
            <w:rPr>
              <w:rFonts w:ascii="Times New Roman" w:eastAsia="Times New Roman" w:hAnsi="Times New Roman"/>
              <w:color w:val="000000"/>
              <w:sz w:val="20"/>
            </w:rPr>
            <w:t xml:space="preserve">, and I. </w:t>
          </w:r>
          <w:proofErr w:type="spellStart"/>
          <w:r w:rsidRPr="003D7A01">
            <w:rPr>
              <w:rFonts w:ascii="Times New Roman" w:eastAsia="Times New Roman" w:hAnsi="Times New Roman"/>
              <w:color w:val="000000"/>
              <w:sz w:val="20"/>
            </w:rPr>
            <w:t>Nugraha</w:t>
          </w:r>
          <w:proofErr w:type="spellEnd"/>
          <w:r w:rsidRPr="003D7A01">
            <w:rPr>
              <w:rFonts w:ascii="Times New Roman" w:eastAsia="Times New Roman" w:hAnsi="Times New Roman"/>
              <w:color w:val="000000"/>
              <w:sz w:val="20"/>
            </w:rPr>
            <w:t>, “</w:t>
          </w:r>
          <w:proofErr w:type="spellStart"/>
          <w:r w:rsidRPr="003D7A01">
            <w:rPr>
              <w:rFonts w:ascii="Times New Roman" w:eastAsia="Times New Roman" w:hAnsi="Times New Roman"/>
              <w:color w:val="000000"/>
              <w:sz w:val="20"/>
            </w:rPr>
            <w:t>Pengendalian</w:t>
          </w:r>
          <w:proofErr w:type="spellEnd"/>
          <w:r w:rsidRPr="003D7A01">
            <w:rPr>
              <w:rFonts w:ascii="Times New Roman" w:eastAsia="Times New Roman" w:hAnsi="Times New Roman"/>
              <w:color w:val="000000"/>
              <w:sz w:val="20"/>
            </w:rPr>
            <w:t xml:space="preserve"> Risiko dan </w:t>
          </w:r>
          <w:proofErr w:type="spellStart"/>
          <w:r w:rsidRPr="003D7A01">
            <w:rPr>
              <w:rFonts w:ascii="Times New Roman" w:eastAsia="Times New Roman" w:hAnsi="Times New Roman"/>
              <w:color w:val="000000"/>
              <w:sz w:val="20"/>
            </w:rPr>
            <w:t>Optimalisasi</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Persediaan</w:t>
          </w:r>
          <w:proofErr w:type="spellEnd"/>
          <w:r w:rsidRPr="003D7A01">
            <w:rPr>
              <w:rFonts w:ascii="Times New Roman" w:eastAsia="Times New Roman" w:hAnsi="Times New Roman"/>
              <w:color w:val="000000"/>
              <w:sz w:val="20"/>
            </w:rPr>
            <w:t xml:space="preserve"> Bahan Baku pada Usaha Kecil: </w:t>
          </w:r>
          <w:proofErr w:type="spellStart"/>
          <w:r w:rsidRPr="003D7A01">
            <w:rPr>
              <w:rFonts w:ascii="Times New Roman" w:eastAsia="Times New Roman" w:hAnsi="Times New Roman"/>
              <w:color w:val="000000"/>
              <w:sz w:val="20"/>
            </w:rPr>
            <w:t>Pendekatan</w:t>
          </w:r>
          <w:proofErr w:type="spellEnd"/>
          <w:r w:rsidRPr="003D7A01">
            <w:rPr>
              <w:rFonts w:ascii="Times New Roman" w:eastAsia="Times New Roman" w:hAnsi="Times New Roman"/>
              <w:color w:val="000000"/>
              <w:sz w:val="20"/>
            </w:rPr>
            <w:t xml:space="preserve"> Metode FMEA dan EOQ </w:t>
          </w:r>
          <w:proofErr w:type="spellStart"/>
          <w:r w:rsidRPr="003D7A01">
            <w:rPr>
              <w:rFonts w:ascii="Times New Roman" w:eastAsia="Times New Roman" w:hAnsi="Times New Roman"/>
              <w:color w:val="000000"/>
              <w:sz w:val="20"/>
            </w:rPr>
            <w:t>Yuliatin</w:t>
          </w:r>
          <w:proofErr w:type="spellEnd"/>
          <w:r w:rsidRPr="003D7A01">
            <w:rPr>
              <w:rFonts w:ascii="Times New Roman" w:eastAsia="Times New Roman" w:hAnsi="Times New Roman"/>
              <w:color w:val="000000"/>
              <w:sz w:val="20"/>
            </w:rPr>
            <w:t xml:space="preserve"> Ali Syamsiah Nasional ‘Veteran’ Jawa Timur Dwi Sukma </w:t>
          </w:r>
          <w:proofErr w:type="spellStart"/>
          <w:r w:rsidRPr="003D7A01">
            <w:rPr>
              <w:rFonts w:ascii="Times New Roman" w:eastAsia="Times New Roman" w:hAnsi="Times New Roman"/>
              <w:color w:val="000000"/>
              <w:sz w:val="20"/>
            </w:rPr>
            <w:t>Donoriyanto</w:t>
          </w:r>
          <w:proofErr w:type="spellEnd"/>
          <w:r w:rsidRPr="003D7A01">
            <w:rPr>
              <w:rFonts w:ascii="Times New Roman" w:eastAsia="Times New Roman" w:hAnsi="Times New Roman"/>
              <w:color w:val="000000"/>
              <w:sz w:val="20"/>
            </w:rPr>
            <w:t xml:space="preserve"> Program Studi Teknik Industri, </w:t>
          </w:r>
          <w:proofErr w:type="spellStart"/>
          <w:r w:rsidRPr="003D7A01">
            <w:rPr>
              <w:rFonts w:ascii="Times New Roman" w:eastAsia="Times New Roman" w:hAnsi="Times New Roman"/>
              <w:color w:val="000000"/>
              <w:sz w:val="20"/>
            </w:rPr>
            <w:t>Fakultas</w:t>
          </w:r>
          <w:proofErr w:type="spellEnd"/>
          <w:r w:rsidRPr="003D7A01">
            <w:rPr>
              <w:rFonts w:ascii="Times New Roman" w:eastAsia="Times New Roman" w:hAnsi="Times New Roman"/>
              <w:color w:val="000000"/>
              <w:sz w:val="20"/>
            </w:rPr>
            <w:t xml:space="preserve"> Teknik dan Sain , Universitas,” </w:t>
          </w:r>
          <w:proofErr w:type="spellStart"/>
          <w:r w:rsidRPr="003D7A01">
            <w:rPr>
              <w:rFonts w:ascii="Times New Roman" w:eastAsia="Times New Roman" w:hAnsi="Times New Roman"/>
              <w:i/>
              <w:iCs/>
              <w:color w:val="000000"/>
              <w:sz w:val="20"/>
            </w:rPr>
            <w:t>Jurnal</w:t>
          </w:r>
          <w:proofErr w:type="spellEnd"/>
          <w:r w:rsidRPr="003D7A01">
            <w:rPr>
              <w:rFonts w:ascii="Times New Roman" w:eastAsia="Times New Roman" w:hAnsi="Times New Roman"/>
              <w:i/>
              <w:iCs/>
              <w:color w:val="000000"/>
              <w:sz w:val="20"/>
            </w:rPr>
            <w:t xml:space="preserve"> Riset </w:t>
          </w:r>
          <w:proofErr w:type="spellStart"/>
          <w:r w:rsidRPr="003D7A01">
            <w:rPr>
              <w:rFonts w:ascii="Times New Roman" w:eastAsia="Times New Roman" w:hAnsi="Times New Roman"/>
              <w:i/>
              <w:iCs/>
              <w:color w:val="000000"/>
              <w:sz w:val="20"/>
            </w:rPr>
            <w:t>Rumpun</w:t>
          </w:r>
          <w:proofErr w:type="spellEnd"/>
          <w:r w:rsidRPr="003D7A01">
            <w:rPr>
              <w:rFonts w:ascii="Times New Roman" w:eastAsia="Times New Roman" w:hAnsi="Times New Roman"/>
              <w:i/>
              <w:iCs/>
              <w:color w:val="000000"/>
              <w:sz w:val="20"/>
            </w:rPr>
            <w:t xml:space="preserve"> </w:t>
          </w:r>
          <w:proofErr w:type="spellStart"/>
          <w:r w:rsidRPr="003D7A01">
            <w:rPr>
              <w:rFonts w:ascii="Times New Roman" w:eastAsia="Times New Roman" w:hAnsi="Times New Roman"/>
              <w:i/>
              <w:iCs/>
              <w:color w:val="000000"/>
              <w:sz w:val="20"/>
            </w:rPr>
            <w:t>Ilmu</w:t>
          </w:r>
          <w:proofErr w:type="spellEnd"/>
          <w:r w:rsidRPr="003D7A01">
            <w:rPr>
              <w:rFonts w:ascii="Times New Roman" w:eastAsia="Times New Roman" w:hAnsi="Times New Roman"/>
              <w:i/>
              <w:iCs/>
              <w:color w:val="000000"/>
              <w:sz w:val="20"/>
            </w:rPr>
            <w:t xml:space="preserve"> Teknik (JURRITEK)</w:t>
          </w:r>
          <w:r w:rsidRPr="003D7A01">
            <w:rPr>
              <w:rFonts w:ascii="Times New Roman" w:eastAsia="Times New Roman" w:hAnsi="Times New Roman"/>
              <w:color w:val="000000"/>
              <w:sz w:val="20"/>
            </w:rPr>
            <w:t xml:space="preserve">, vol. 2, no. 2, 2023,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https://doi.org/10.55606/jurritek.v2i2.2566.</w:t>
          </w:r>
        </w:p>
        <w:p w14:paraId="57D9C645" w14:textId="77777777" w:rsidR="00D03084" w:rsidRPr="003D7A01" w:rsidRDefault="00D03084" w:rsidP="00F90251">
          <w:pPr>
            <w:autoSpaceDE w:val="0"/>
            <w:autoSpaceDN w:val="0"/>
            <w:spacing w:after="120"/>
            <w:ind w:left="-284" w:hanging="426"/>
            <w:jc w:val="both"/>
            <w:divId w:val="1417946536"/>
            <w:rPr>
              <w:rFonts w:ascii="Times New Roman" w:eastAsia="Times New Roman" w:hAnsi="Times New Roman"/>
              <w:color w:val="000000"/>
              <w:sz w:val="20"/>
            </w:rPr>
          </w:pPr>
          <w:r w:rsidRPr="003D7A01">
            <w:rPr>
              <w:rFonts w:ascii="Times New Roman" w:eastAsia="Times New Roman" w:hAnsi="Times New Roman"/>
              <w:color w:val="000000"/>
              <w:sz w:val="20"/>
            </w:rPr>
            <w:t>[11]</w:t>
          </w:r>
          <w:r w:rsidRPr="003D7A01">
            <w:rPr>
              <w:rFonts w:ascii="Times New Roman" w:eastAsia="Times New Roman" w:hAnsi="Times New Roman"/>
              <w:color w:val="000000"/>
              <w:sz w:val="20"/>
            </w:rPr>
            <w:tab/>
            <w:t>F. R. Mulya and P. S. Sutopo, “</w:t>
          </w:r>
          <w:proofErr w:type="spellStart"/>
          <w:r w:rsidRPr="003D7A01">
            <w:rPr>
              <w:rFonts w:ascii="Times New Roman" w:eastAsia="Times New Roman" w:hAnsi="Times New Roman"/>
              <w:color w:val="000000"/>
              <w:sz w:val="20"/>
            </w:rPr>
            <w:t>Meningkatkan</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Kualitas</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Persediaan</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Duplek</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dengan</w:t>
          </w:r>
          <w:proofErr w:type="spellEnd"/>
          <w:r w:rsidRPr="003D7A01">
            <w:rPr>
              <w:rFonts w:ascii="Times New Roman" w:eastAsia="Times New Roman" w:hAnsi="Times New Roman"/>
              <w:color w:val="000000"/>
              <w:sz w:val="20"/>
            </w:rPr>
            <w:t xml:space="preserve"> Metode Economic Order Quantity (EOQ) di PT. ABCD,” </w:t>
          </w:r>
          <w:proofErr w:type="spellStart"/>
          <w:r w:rsidRPr="003D7A01">
            <w:rPr>
              <w:rFonts w:ascii="Times New Roman" w:eastAsia="Times New Roman" w:hAnsi="Times New Roman"/>
              <w:i/>
              <w:iCs/>
              <w:color w:val="000000"/>
              <w:sz w:val="20"/>
            </w:rPr>
            <w:t>Jurnal</w:t>
          </w:r>
          <w:proofErr w:type="spellEnd"/>
          <w:r w:rsidRPr="003D7A01">
            <w:rPr>
              <w:rFonts w:ascii="Times New Roman" w:eastAsia="Times New Roman" w:hAnsi="Times New Roman"/>
              <w:i/>
              <w:iCs/>
              <w:color w:val="000000"/>
              <w:sz w:val="20"/>
            </w:rPr>
            <w:t xml:space="preserve"> </w:t>
          </w:r>
          <w:proofErr w:type="spellStart"/>
          <w:r w:rsidRPr="003D7A01">
            <w:rPr>
              <w:rFonts w:ascii="Times New Roman" w:eastAsia="Times New Roman" w:hAnsi="Times New Roman"/>
              <w:i/>
              <w:iCs/>
              <w:color w:val="000000"/>
              <w:sz w:val="20"/>
            </w:rPr>
            <w:t>Sosial</w:t>
          </w:r>
          <w:proofErr w:type="spellEnd"/>
          <w:r w:rsidRPr="003D7A01">
            <w:rPr>
              <w:rFonts w:ascii="Times New Roman" w:eastAsia="Times New Roman" w:hAnsi="Times New Roman"/>
              <w:i/>
              <w:iCs/>
              <w:color w:val="000000"/>
              <w:sz w:val="20"/>
            </w:rPr>
            <w:t xml:space="preserve"> dan </w:t>
          </w:r>
          <w:proofErr w:type="spellStart"/>
          <w:r w:rsidRPr="003D7A01">
            <w:rPr>
              <w:rFonts w:ascii="Times New Roman" w:eastAsia="Times New Roman" w:hAnsi="Times New Roman"/>
              <w:i/>
              <w:iCs/>
              <w:color w:val="000000"/>
              <w:sz w:val="20"/>
            </w:rPr>
            <w:t>Teknologi</w:t>
          </w:r>
          <w:proofErr w:type="spellEnd"/>
          <w:r w:rsidRPr="003D7A01">
            <w:rPr>
              <w:rFonts w:ascii="Times New Roman" w:eastAsia="Times New Roman" w:hAnsi="Times New Roman"/>
              <w:i/>
              <w:iCs/>
              <w:color w:val="000000"/>
              <w:sz w:val="20"/>
            </w:rPr>
            <w:t xml:space="preserve"> (SOSTECH)</w:t>
          </w:r>
          <w:r w:rsidRPr="003D7A01">
            <w:rPr>
              <w:rFonts w:ascii="Times New Roman" w:eastAsia="Times New Roman" w:hAnsi="Times New Roman"/>
              <w:color w:val="000000"/>
              <w:sz w:val="20"/>
            </w:rPr>
            <w:t xml:space="preserve">, vol. 4, no. 9, pp. 776–794, 2024,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https://doi.org/10.59188/jurnalsostech.v4i9.2802.</w:t>
          </w:r>
        </w:p>
        <w:p w14:paraId="58982A25" w14:textId="77777777" w:rsidR="00D03084" w:rsidRPr="003D7A01" w:rsidRDefault="00D03084" w:rsidP="00F90251">
          <w:pPr>
            <w:autoSpaceDE w:val="0"/>
            <w:autoSpaceDN w:val="0"/>
            <w:spacing w:after="120"/>
            <w:ind w:left="-284" w:hanging="426"/>
            <w:jc w:val="both"/>
            <w:divId w:val="940261313"/>
            <w:rPr>
              <w:rFonts w:ascii="Times New Roman" w:eastAsia="Times New Roman" w:hAnsi="Times New Roman"/>
              <w:color w:val="000000"/>
              <w:sz w:val="20"/>
            </w:rPr>
          </w:pPr>
          <w:r w:rsidRPr="003D7A01">
            <w:rPr>
              <w:rFonts w:ascii="Times New Roman" w:eastAsia="Times New Roman" w:hAnsi="Times New Roman"/>
              <w:color w:val="000000"/>
              <w:sz w:val="20"/>
            </w:rPr>
            <w:t>[12]</w:t>
          </w:r>
          <w:r w:rsidRPr="003D7A01">
            <w:rPr>
              <w:rFonts w:ascii="Times New Roman" w:eastAsia="Times New Roman" w:hAnsi="Times New Roman"/>
              <w:color w:val="000000"/>
              <w:sz w:val="20"/>
            </w:rPr>
            <w:tab/>
            <w:t xml:space="preserve">M. Siraj, A. Naseem, M. Maryam, and J. Asad, “Optimizing Inventory Management: A Comprehensive Analysis of Economic Order Quantity, Lot Size, Safety Stock, and Reordering Quantity Strategies,” </w:t>
          </w:r>
          <w:r w:rsidRPr="003D7A01">
            <w:rPr>
              <w:rFonts w:ascii="Times New Roman" w:eastAsia="Times New Roman" w:hAnsi="Times New Roman"/>
              <w:i/>
              <w:iCs/>
              <w:color w:val="000000"/>
              <w:sz w:val="20"/>
            </w:rPr>
            <w:t>Journal of Business Administration and Management Sciences (JOBAMS)</w:t>
          </w:r>
          <w:r w:rsidRPr="003D7A01">
            <w:rPr>
              <w:rFonts w:ascii="Times New Roman" w:eastAsia="Times New Roman" w:hAnsi="Times New Roman"/>
              <w:color w:val="000000"/>
              <w:sz w:val="20"/>
            </w:rPr>
            <w:t xml:space="preserve">, vol. 6, no. 1, pp. 8–16, Jun. 2024,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10.58921/jobams.6.1.123.</w:t>
          </w:r>
        </w:p>
        <w:p w14:paraId="6095A88D" w14:textId="77777777" w:rsidR="00D03084" w:rsidRPr="003D7A01" w:rsidRDefault="00D03084" w:rsidP="00F90251">
          <w:pPr>
            <w:autoSpaceDE w:val="0"/>
            <w:autoSpaceDN w:val="0"/>
            <w:spacing w:after="120"/>
            <w:ind w:left="-284" w:hanging="426"/>
            <w:jc w:val="both"/>
            <w:divId w:val="302464190"/>
            <w:rPr>
              <w:rFonts w:ascii="Times New Roman" w:eastAsia="Times New Roman" w:hAnsi="Times New Roman"/>
              <w:color w:val="000000"/>
              <w:sz w:val="20"/>
            </w:rPr>
          </w:pPr>
          <w:r w:rsidRPr="003D7A01">
            <w:rPr>
              <w:rFonts w:ascii="Times New Roman" w:eastAsia="Times New Roman" w:hAnsi="Times New Roman"/>
              <w:color w:val="000000"/>
              <w:sz w:val="20"/>
            </w:rPr>
            <w:t>[13]</w:t>
          </w:r>
          <w:r w:rsidRPr="003D7A01">
            <w:rPr>
              <w:rFonts w:ascii="Times New Roman" w:eastAsia="Times New Roman" w:hAnsi="Times New Roman"/>
              <w:color w:val="000000"/>
              <w:sz w:val="20"/>
            </w:rPr>
            <w:tab/>
            <w:t xml:space="preserve">R. K. Wassan </w:t>
          </w:r>
          <w:r w:rsidRPr="003D7A01">
            <w:rPr>
              <w:rFonts w:ascii="Times New Roman" w:eastAsia="Times New Roman" w:hAnsi="Times New Roman"/>
              <w:i/>
              <w:iCs/>
              <w:color w:val="000000"/>
              <w:sz w:val="20"/>
            </w:rPr>
            <w:t>et al.</w:t>
          </w:r>
          <w:r w:rsidRPr="003D7A01">
            <w:rPr>
              <w:rFonts w:ascii="Times New Roman" w:eastAsia="Times New Roman" w:hAnsi="Times New Roman"/>
              <w:color w:val="000000"/>
              <w:sz w:val="20"/>
            </w:rPr>
            <w:t xml:space="preserve">, “The Current Status of Lean Manufacturing in Small, Medium and Large Scale Manufacturing Companies of Karachi, Pakistan,” </w:t>
          </w:r>
          <w:r w:rsidRPr="003D7A01">
            <w:rPr>
              <w:rFonts w:ascii="Times New Roman" w:eastAsia="Times New Roman" w:hAnsi="Times New Roman"/>
              <w:i/>
              <w:iCs/>
              <w:color w:val="000000"/>
              <w:sz w:val="20"/>
            </w:rPr>
            <w:t>Journal of Applied Engineering Science</w:t>
          </w:r>
          <w:r w:rsidRPr="003D7A01">
            <w:rPr>
              <w:rFonts w:ascii="Times New Roman" w:eastAsia="Times New Roman" w:hAnsi="Times New Roman"/>
              <w:color w:val="000000"/>
              <w:sz w:val="20"/>
            </w:rPr>
            <w:t xml:space="preserve">, vol. 20, no. 3, pp. 707–715, 2022,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10.5937/jaes0-35761.</w:t>
          </w:r>
        </w:p>
        <w:p w14:paraId="687024A1" w14:textId="77777777" w:rsidR="00D03084" w:rsidRPr="003D7A01" w:rsidRDefault="00D03084" w:rsidP="00F90251">
          <w:pPr>
            <w:autoSpaceDE w:val="0"/>
            <w:autoSpaceDN w:val="0"/>
            <w:spacing w:after="120"/>
            <w:ind w:left="-284" w:hanging="426"/>
            <w:jc w:val="both"/>
            <w:divId w:val="1886218093"/>
            <w:rPr>
              <w:rFonts w:ascii="Times New Roman" w:eastAsia="Times New Roman" w:hAnsi="Times New Roman"/>
              <w:color w:val="000000"/>
              <w:sz w:val="20"/>
            </w:rPr>
          </w:pPr>
          <w:r w:rsidRPr="003D7A01">
            <w:rPr>
              <w:rFonts w:ascii="Times New Roman" w:eastAsia="Times New Roman" w:hAnsi="Times New Roman"/>
              <w:color w:val="000000"/>
              <w:sz w:val="20"/>
            </w:rPr>
            <w:t>[14]</w:t>
          </w:r>
          <w:r w:rsidRPr="003D7A01">
            <w:rPr>
              <w:rFonts w:ascii="Times New Roman" w:eastAsia="Times New Roman" w:hAnsi="Times New Roman"/>
              <w:color w:val="000000"/>
              <w:sz w:val="20"/>
            </w:rPr>
            <w:tab/>
            <w:t xml:space="preserve">J. EHJ. </w:t>
          </w:r>
          <w:proofErr w:type="spellStart"/>
          <w:r w:rsidRPr="003D7A01">
            <w:rPr>
              <w:rFonts w:ascii="Times New Roman" w:eastAsia="Times New Roman" w:hAnsi="Times New Roman"/>
              <w:color w:val="000000"/>
              <w:sz w:val="20"/>
            </w:rPr>
            <w:t>Foeh</w:t>
          </w:r>
          <w:proofErr w:type="spellEnd"/>
          <w:r w:rsidRPr="003D7A01">
            <w:rPr>
              <w:rFonts w:ascii="Times New Roman" w:eastAsia="Times New Roman" w:hAnsi="Times New Roman"/>
              <w:color w:val="000000"/>
              <w:sz w:val="20"/>
            </w:rPr>
            <w:t xml:space="preserve">, “Application of Economic Order Quantity Method in Controlling Raw Material Inventory,” </w:t>
          </w:r>
          <w:r w:rsidRPr="003D7A01">
            <w:rPr>
              <w:rFonts w:ascii="Times New Roman" w:eastAsia="Times New Roman" w:hAnsi="Times New Roman"/>
              <w:i/>
              <w:iCs/>
              <w:color w:val="000000"/>
              <w:sz w:val="20"/>
            </w:rPr>
            <w:t>International Journal of Social Science and Human Research</w:t>
          </w:r>
          <w:r w:rsidRPr="003D7A01">
            <w:rPr>
              <w:rFonts w:ascii="Times New Roman" w:eastAsia="Times New Roman" w:hAnsi="Times New Roman"/>
              <w:color w:val="000000"/>
              <w:sz w:val="20"/>
            </w:rPr>
            <w:t xml:space="preserve">, vol. 04, no. 08, pp. 2181–2186, 2021,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10.47191/</w:t>
          </w:r>
          <w:proofErr w:type="spellStart"/>
          <w:r w:rsidRPr="003D7A01">
            <w:rPr>
              <w:rFonts w:ascii="Times New Roman" w:eastAsia="Times New Roman" w:hAnsi="Times New Roman"/>
              <w:color w:val="000000"/>
              <w:sz w:val="20"/>
            </w:rPr>
            <w:t>ijsshr</w:t>
          </w:r>
          <w:proofErr w:type="spellEnd"/>
          <w:r w:rsidRPr="003D7A01">
            <w:rPr>
              <w:rFonts w:ascii="Times New Roman" w:eastAsia="Times New Roman" w:hAnsi="Times New Roman"/>
              <w:color w:val="000000"/>
              <w:sz w:val="20"/>
            </w:rPr>
            <w:t>/v4-i8-32.</w:t>
          </w:r>
        </w:p>
        <w:p w14:paraId="313A148C" w14:textId="77777777" w:rsidR="00D03084" w:rsidRPr="003D7A01" w:rsidRDefault="00D03084" w:rsidP="00F90251">
          <w:pPr>
            <w:autoSpaceDE w:val="0"/>
            <w:autoSpaceDN w:val="0"/>
            <w:spacing w:after="120"/>
            <w:ind w:left="-284" w:hanging="426"/>
            <w:jc w:val="both"/>
            <w:divId w:val="1547520986"/>
            <w:rPr>
              <w:rFonts w:ascii="Times New Roman" w:eastAsia="Times New Roman" w:hAnsi="Times New Roman"/>
              <w:color w:val="000000"/>
              <w:sz w:val="20"/>
            </w:rPr>
          </w:pPr>
          <w:r w:rsidRPr="003D7A01">
            <w:rPr>
              <w:rFonts w:ascii="Times New Roman" w:eastAsia="Times New Roman" w:hAnsi="Times New Roman"/>
              <w:color w:val="000000"/>
              <w:sz w:val="20"/>
            </w:rPr>
            <w:t>[15]</w:t>
          </w:r>
          <w:r w:rsidRPr="003D7A01">
            <w:rPr>
              <w:rFonts w:ascii="Times New Roman" w:eastAsia="Times New Roman" w:hAnsi="Times New Roman"/>
              <w:color w:val="000000"/>
              <w:sz w:val="20"/>
            </w:rPr>
            <w:tab/>
            <w:t xml:space="preserve">P. Kumar and S. Dubey, “International Journal of Advance Research and Innovation A Comprehensive Critical Analysis of the Economic Order Quantity Model in Inventory Management International Journal of Advance Research and Innovation,” vol. 12, no. 1, pp. 7–10, 2024,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https://doi.org/10.69996/ijari.2024002.</w:t>
          </w:r>
        </w:p>
        <w:p w14:paraId="1C331375" w14:textId="77777777" w:rsidR="00D03084" w:rsidRPr="003D7A01" w:rsidRDefault="00D03084" w:rsidP="00F90251">
          <w:pPr>
            <w:autoSpaceDE w:val="0"/>
            <w:autoSpaceDN w:val="0"/>
            <w:spacing w:after="120"/>
            <w:ind w:left="-284" w:hanging="426"/>
            <w:jc w:val="both"/>
            <w:divId w:val="504442492"/>
            <w:rPr>
              <w:rFonts w:ascii="Times New Roman" w:eastAsia="Times New Roman" w:hAnsi="Times New Roman"/>
              <w:color w:val="000000"/>
              <w:sz w:val="20"/>
            </w:rPr>
          </w:pPr>
          <w:r w:rsidRPr="003D7A01">
            <w:rPr>
              <w:rFonts w:ascii="Times New Roman" w:eastAsia="Times New Roman" w:hAnsi="Times New Roman"/>
              <w:color w:val="000000"/>
              <w:sz w:val="20"/>
            </w:rPr>
            <w:t>[16]</w:t>
          </w:r>
          <w:r w:rsidRPr="003D7A01">
            <w:rPr>
              <w:rFonts w:ascii="Times New Roman" w:eastAsia="Times New Roman" w:hAnsi="Times New Roman"/>
              <w:color w:val="000000"/>
              <w:sz w:val="20"/>
            </w:rPr>
            <w:tab/>
            <w:t xml:space="preserve">A. E. Mohamed, “Operations Management : Recent Advances and New Perspectives,” in </w:t>
          </w:r>
          <w:r w:rsidRPr="003D7A01">
            <w:rPr>
              <w:rFonts w:ascii="Times New Roman" w:eastAsia="Times New Roman" w:hAnsi="Times New Roman"/>
              <w:i/>
              <w:iCs/>
              <w:color w:val="000000"/>
              <w:sz w:val="20"/>
            </w:rPr>
            <w:t>Operations Management - Recent Advances and New Perspectives</w:t>
          </w:r>
          <w:r w:rsidRPr="003D7A01">
            <w:rPr>
              <w:rFonts w:ascii="Times New Roman" w:eastAsia="Times New Roman" w:hAnsi="Times New Roman"/>
              <w:color w:val="000000"/>
              <w:sz w:val="20"/>
            </w:rPr>
            <w:t xml:space="preserve">, 1st ed., vol. 1, T. Bányai, Ed., </w:t>
          </w:r>
          <w:proofErr w:type="spellStart"/>
          <w:r w:rsidRPr="003D7A01">
            <w:rPr>
              <w:rFonts w:ascii="Times New Roman" w:eastAsia="Times New Roman" w:hAnsi="Times New Roman"/>
              <w:color w:val="000000"/>
              <w:sz w:val="20"/>
            </w:rPr>
            <w:t>Intechopen</w:t>
          </w:r>
          <w:proofErr w:type="spellEnd"/>
          <w:r w:rsidRPr="003D7A01">
            <w:rPr>
              <w:rFonts w:ascii="Times New Roman" w:eastAsia="Times New Roman" w:hAnsi="Times New Roman"/>
              <w:color w:val="000000"/>
              <w:sz w:val="20"/>
            </w:rPr>
            <w:t>, 2024, ch. 3, pp. 1–14.</w:t>
          </w:r>
        </w:p>
        <w:p w14:paraId="6E7E25C0" w14:textId="77777777" w:rsidR="00D03084" w:rsidRPr="003D7A01" w:rsidRDefault="00D03084" w:rsidP="00F90251">
          <w:pPr>
            <w:autoSpaceDE w:val="0"/>
            <w:autoSpaceDN w:val="0"/>
            <w:spacing w:after="120"/>
            <w:ind w:left="-284" w:hanging="426"/>
            <w:jc w:val="both"/>
            <w:divId w:val="1663580199"/>
            <w:rPr>
              <w:rFonts w:ascii="Times New Roman" w:eastAsia="Times New Roman" w:hAnsi="Times New Roman"/>
              <w:color w:val="000000"/>
              <w:sz w:val="20"/>
            </w:rPr>
          </w:pPr>
          <w:r w:rsidRPr="003D7A01">
            <w:rPr>
              <w:rFonts w:ascii="Times New Roman" w:eastAsia="Times New Roman" w:hAnsi="Times New Roman"/>
              <w:color w:val="000000"/>
              <w:sz w:val="20"/>
            </w:rPr>
            <w:t>[17]</w:t>
          </w:r>
          <w:r w:rsidRPr="003D7A01">
            <w:rPr>
              <w:rFonts w:ascii="Times New Roman" w:eastAsia="Times New Roman" w:hAnsi="Times New Roman"/>
              <w:color w:val="000000"/>
              <w:sz w:val="20"/>
            </w:rPr>
            <w:tab/>
            <w:t xml:space="preserve">J. Heizer and B. Render, </w:t>
          </w:r>
          <w:r w:rsidRPr="003D7A01">
            <w:rPr>
              <w:rFonts w:ascii="Times New Roman" w:eastAsia="Times New Roman" w:hAnsi="Times New Roman"/>
              <w:i/>
              <w:iCs/>
              <w:color w:val="000000"/>
              <w:sz w:val="20"/>
            </w:rPr>
            <w:t>Operations Management: Sustainability and Supply Chain Management</w:t>
          </w:r>
          <w:r w:rsidRPr="003D7A01">
            <w:rPr>
              <w:rFonts w:ascii="Times New Roman" w:eastAsia="Times New Roman" w:hAnsi="Times New Roman"/>
              <w:color w:val="000000"/>
              <w:sz w:val="20"/>
            </w:rPr>
            <w:t>, 14th ed. New Jersey: Pearson Education, 2023. [Online]. Available: https://e-journals2.unmul.ac.id/index.php/jatri/article/view/2304</w:t>
          </w:r>
        </w:p>
        <w:p w14:paraId="787B2411" w14:textId="77777777" w:rsidR="00D03084" w:rsidRPr="003D7A01" w:rsidRDefault="00D03084" w:rsidP="00F90251">
          <w:pPr>
            <w:autoSpaceDE w:val="0"/>
            <w:autoSpaceDN w:val="0"/>
            <w:spacing w:after="120"/>
            <w:ind w:left="-284" w:hanging="426"/>
            <w:jc w:val="both"/>
            <w:divId w:val="1231772484"/>
            <w:rPr>
              <w:rFonts w:ascii="Times New Roman" w:eastAsia="Times New Roman" w:hAnsi="Times New Roman"/>
              <w:color w:val="000000"/>
              <w:sz w:val="20"/>
            </w:rPr>
          </w:pPr>
          <w:r w:rsidRPr="003D7A01">
            <w:rPr>
              <w:rFonts w:ascii="Times New Roman" w:eastAsia="Times New Roman" w:hAnsi="Times New Roman"/>
              <w:color w:val="000000"/>
              <w:sz w:val="20"/>
            </w:rPr>
            <w:t>[18]</w:t>
          </w:r>
          <w:r w:rsidRPr="003D7A01">
            <w:rPr>
              <w:rFonts w:ascii="Times New Roman" w:eastAsia="Times New Roman" w:hAnsi="Times New Roman"/>
              <w:color w:val="000000"/>
              <w:sz w:val="20"/>
            </w:rPr>
            <w:tab/>
            <w:t xml:space="preserve">K. </w:t>
          </w:r>
          <w:proofErr w:type="spellStart"/>
          <w:r w:rsidRPr="003D7A01">
            <w:rPr>
              <w:rFonts w:ascii="Times New Roman" w:eastAsia="Times New Roman" w:hAnsi="Times New Roman"/>
              <w:color w:val="000000"/>
              <w:sz w:val="20"/>
            </w:rPr>
            <w:t>Hadidjija</w:t>
          </w:r>
          <w:proofErr w:type="spellEnd"/>
          <w:r w:rsidRPr="003D7A01">
            <w:rPr>
              <w:rFonts w:ascii="Times New Roman" w:eastAsia="Times New Roman" w:hAnsi="Times New Roman"/>
              <w:color w:val="000000"/>
              <w:sz w:val="20"/>
            </w:rPr>
            <w:t xml:space="preserve">, D. Fitriana, and L. Lazuardi, “Analysis of Soybean Raw Material Inventory Control Using the Economic Order Quantity (EOQ) Method at the </w:t>
          </w:r>
          <w:proofErr w:type="spellStart"/>
          <w:r w:rsidRPr="003D7A01">
            <w:rPr>
              <w:rFonts w:ascii="Times New Roman" w:eastAsia="Times New Roman" w:hAnsi="Times New Roman"/>
              <w:color w:val="000000"/>
              <w:sz w:val="20"/>
            </w:rPr>
            <w:t>Terang</w:t>
          </w:r>
          <w:proofErr w:type="spellEnd"/>
          <w:r w:rsidRPr="003D7A01">
            <w:rPr>
              <w:rFonts w:ascii="Times New Roman" w:eastAsia="Times New Roman" w:hAnsi="Times New Roman"/>
              <w:color w:val="000000"/>
              <w:sz w:val="20"/>
            </w:rPr>
            <w:t xml:space="preserve"> Tofu Factory,” </w:t>
          </w:r>
          <w:r w:rsidRPr="003D7A01">
            <w:rPr>
              <w:rFonts w:ascii="Times New Roman" w:eastAsia="Times New Roman" w:hAnsi="Times New Roman"/>
              <w:i/>
              <w:iCs/>
              <w:color w:val="000000"/>
              <w:sz w:val="20"/>
            </w:rPr>
            <w:t xml:space="preserve">Journal of </w:t>
          </w:r>
          <w:proofErr w:type="spellStart"/>
          <w:r w:rsidRPr="003D7A01">
            <w:rPr>
              <w:rFonts w:ascii="Times New Roman" w:eastAsia="Times New Roman" w:hAnsi="Times New Roman"/>
              <w:i/>
              <w:iCs/>
              <w:color w:val="000000"/>
              <w:sz w:val="20"/>
            </w:rPr>
            <w:t>Evrimata</w:t>
          </w:r>
          <w:proofErr w:type="spellEnd"/>
          <w:r w:rsidRPr="003D7A01">
            <w:rPr>
              <w:rFonts w:ascii="Times New Roman" w:eastAsia="Times New Roman" w:hAnsi="Times New Roman"/>
              <w:i/>
              <w:iCs/>
              <w:color w:val="000000"/>
              <w:sz w:val="20"/>
            </w:rPr>
            <w:t>: Engineering and Physics</w:t>
          </w:r>
          <w:r w:rsidRPr="003D7A01">
            <w:rPr>
              <w:rFonts w:ascii="Times New Roman" w:eastAsia="Times New Roman" w:hAnsi="Times New Roman"/>
              <w:color w:val="000000"/>
              <w:sz w:val="20"/>
            </w:rPr>
            <w:t>, vol. 03, no. 01, pp. 01–06, 2025, Accessed: Oct. 14, 2026. [Online]. Available: https://www.evrimata.id/index.php/EEP/article/view/68/52</w:t>
          </w:r>
        </w:p>
        <w:p w14:paraId="2723A0FB" w14:textId="77777777" w:rsidR="00D03084" w:rsidRPr="003D7A01" w:rsidRDefault="00D03084" w:rsidP="00F90251">
          <w:pPr>
            <w:autoSpaceDE w:val="0"/>
            <w:autoSpaceDN w:val="0"/>
            <w:spacing w:after="120"/>
            <w:ind w:left="-284" w:hanging="426"/>
            <w:jc w:val="both"/>
            <w:divId w:val="331219800"/>
            <w:rPr>
              <w:rFonts w:ascii="Times New Roman" w:eastAsia="Times New Roman" w:hAnsi="Times New Roman"/>
              <w:color w:val="000000"/>
              <w:sz w:val="20"/>
            </w:rPr>
          </w:pPr>
          <w:r w:rsidRPr="003D7A01">
            <w:rPr>
              <w:rFonts w:ascii="Times New Roman" w:eastAsia="Times New Roman" w:hAnsi="Times New Roman"/>
              <w:color w:val="000000"/>
              <w:sz w:val="20"/>
            </w:rPr>
            <w:t>[19]</w:t>
          </w:r>
          <w:r w:rsidRPr="003D7A01">
            <w:rPr>
              <w:rFonts w:ascii="Times New Roman" w:eastAsia="Times New Roman" w:hAnsi="Times New Roman"/>
              <w:color w:val="000000"/>
              <w:sz w:val="20"/>
            </w:rPr>
            <w:tab/>
            <w:t xml:space="preserve">I. Anwar, </w:t>
          </w:r>
          <w:r w:rsidRPr="003D7A01">
            <w:rPr>
              <w:rFonts w:ascii="Times New Roman" w:eastAsia="Times New Roman" w:hAnsi="Times New Roman"/>
              <w:i/>
              <w:iCs/>
              <w:color w:val="000000"/>
              <w:sz w:val="20"/>
            </w:rPr>
            <w:t>Inventory Optimization Techniques</w:t>
          </w:r>
          <w:r w:rsidRPr="003D7A01">
            <w:rPr>
              <w:rFonts w:ascii="Times New Roman" w:eastAsia="Times New Roman" w:hAnsi="Times New Roman"/>
              <w:color w:val="000000"/>
              <w:sz w:val="20"/>
            </w:rPr>
            <w:t xml:space="preserve">, 1st ed., vol. 1. Bogor, Indonesia: PT </w:t>
          </w:r>
          <w:proofErr w:type="spellStart"/>
          <w:r w:rsidRPr="003D7A01">
            <w:rPr>
              <w:rFonts w:ascii="Times New Roman" w:eastAsia="Times New Roman" w:hAnsi="Times New Roman"/>
              <w:color w:val="000000"/>
              <w:sz w:val="20"/>
            </w:rPr>
            <w:t>Hibrkraft</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Kreasi</w:t>
          </w:r>
          <w:proofErr w:type="spellEnd"/>
          <w:r w:rsidRPr="003D7A01">
            <w:rPr>
              <w:rFonts w:ascii="Times New Roman" w:eastAsia="Times New Roman" w:hAnsi="Times New Roman"/>
              <w:color w:val="000000"/>
              <w:sz w:val="20"/>
            </w:rPr>
            <w:t xml:space="preserve"> Indonesia, 2025.</w:t>
          </w:r>
        </w:p>
        <w:p w14:paraId="1CE379F4" w14:textId="77777777" w:rsidR="00D03084" w:rsidRPr="003D7A01" w:rsidRDefault="00D03084" w:rsidP="00F90251">
          <w:pPr>
            <w:autoSpaceDE w:val="0"/>
            <w:autoSpaceDN w:val="0"/>
            <w:spacing w:after="120"/>
            <w:ind w:left="-284" w:hanging="426"/>
            <w:jc w:val="both"/>
            <w:divId w:val="53090193"/>
            <w:rPr>
              <w:rFonts w:ascii="Times New Roman" w:eastAsia="Times New Roman" w:hAnsi="Times New Roman"/>
              <w:color w:val="000000"/>
              <w:sz w:val="20"/>
            </w:rPr>
          </w:pPr>
          <w:r w:rsidRPr="003D7A01">
            <w:rPr>
              <w:rFonts w:ascii="Times New Roman" w:eastAsia="Times New Roman" w:hAnsi="Times New Roman"/>
              <w:color w:val="000000"/>
              <w:sz w:val="20"/>
            </w:rPr>
            <w:t>[20]</w:t>
          </w:r>
          <w:r w:rsidRPr="003D7A01">
            <w:rPr>
              <w:rFonts w:ascii="Times New Roman" w:eastAsia="Times New Roman" w:hAnsi="Times New Roman"/>
              <w:color w:val="000000"/>
              <w:sz w:val="20"/>
            </w:rPr>
            <w:tab/>
            <w:t xml:space="preserve">D. Zamani Dadaneh, S. Moradi, and B. Alizadeh, “Simultaneous planning of purchase orders, production, and inventory management under demand uncertainty,” </w:t>
          </w:r>
          <w:r w:rsidRPr="003D7A01">
            <w:rPr>
              <w:rFonts w:ascii="Times New Roman" w:eastAsia="Times New Roman" w:hAnsi="Times New Roman"/>
              <w:i/>
              <w:iCs/>
              <w:color w:val="000000"/>
              <w:sz w:val="20"/>
            </w:rPr>
            <w:t>Int. J. Prod. Econ.</w:t>
          </w:r>
          <w:r w:rsidRPr="003D7A01">
            <w:rPr>
              <w:rFonts w:ascii="Times New Roman" w:eastAsia="Times New Roman" w:hAnsi="Times New Roman"/>
              <w:color w:val="000000"/>
              <w:sz w:val="20"/>
            </w:rPr>
            <w:t xml:space="preserve">, vol. 265, Nov. 2023,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10.1016/j.ijpe.2023.109012.</w:t>
          </w:r>
        </w:p>
        <w:p w14:paraId="5DCA4507" w14:textId="77777777" w:rsidR="00D03084" w:rsidRPr="003D7A01" w:rsidRDefault="00D03084" w:rsidP="00F90251">
          <w:pPr>
            <w:autoSpaceDE w:val="0"/>
            <w:autoSpaceDN w:val="0"/>
            <w:spacing w:after="120"/>
            <w:ind w:left="-284" w:hanging="426"/>
            <w:jc w:val="both"/>
            <w:divId w:val="1222906646"/>
            <w:rPr>
              <w:rFonts w:ascii="Times New Roman" w:eastAsia="Times New Roman" w:hAnsi="Times New Roman"/>
              <w:color w:val="000000"/>
              <w:sz w:val="20"/>
            </w:rPr>
          </w:pPr>
          <w:r w:rsidRPr="003D7A01">
            <w:rPr>
              <w:rFonts w:ascii="Times New Roman" w:eastAsia="Times New Roman" w:hAnsi="Times New Roman"/>
              <w:color w:val="000000"/>
              <w:sz w:val="20"/>
            </w:rPr>
            <w:t>[21]</w:t>
          </w:r>
          <w:r w:rsidRPr="003D7A01">
            <w:rPr>
              <w:rFonts w:ascii="Times New Roman" w:eastAsia="Times New Roman" w:hAnsi="Times New Roman"/>
              <w:color w:val="000000"/>
              <w:sz w:val="20"/>
            </w:rPr>
            <w:tab/>
            <w:t>E. Rusnita, “</w:t>
          </w:r>
          <w:proofErr w:type="spellStart"/>
          <w:r w:rsidRPr="003D7A01">
            <w:rPr>
              <w:rFonts w:ascii="Times New Roman" w:eastAsia="Times New Roman" w:hAnsi="Times New Roman"/>
              <w:color w:val="000000"/>
              <w:sz w:val="20"/>
            </w:rPr>
            <w:t>Analisis</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Biaya</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Pemesanan</w:t>
          </w:r>
          <w:proofErr w:type="spellEnd"/>
          <w:r w:rsidRPr="003D7A01">
            <w:rPr>
              <w:rFonts w:ascii="Times New Roman" w:eastAsia="Times New Roman" w:hAnsi="Times New Roman"/>
              <w:color w:val="000000"/>
              <w:sz w:val="20"/>
            </w:rPr>
            <w:t xml:space="preserve"> Material </w:t>
          </w:r>
          <w:proofErr w:type="spellStart"/>
          <w:r w:rsidRPr="003D7A01">
            <w:rPr>
              <w:rFonts w:ascii="Times New Roman" w:eastAsia="Times New Roman" w:hAnsi="Times New Roman"/>
              <w:color w:val="000000"/>
              <w:sz w:val="20"/>
            </w:rPr>
            <w:t>dengan</w:t>
          </w:r>
          <w:proofErr w:type="spellEnd"/>
          <w:r w:rsidRPr="003D7A01">
            <w:rPr>
              <w:rFonts w:ascii="Times New Roman" w:eastAsia="Times New Roman" w:hAnsi="Times New Roman"/>
              <w:color w:val="000000"/>
              <w:sz w:val="20"/>
            </w:rPr>
            <w:t xml:space="preserve"> Metode Economic Order Quantity (EOQ) di PT. XYZ,” </w:t>
          </w:r>
          <w:proofErr w:type="spellStart"/>
          <w:r w:rsidRPr="003D7A01">
            <w:rPr>
              <w:rFonts w:ascii="Times New Roman" w:eastAsia="Times New Roman" w:hAnsi="Times New Roman"/>
              <w:i/>
              <w:iCs/>
              <w:color w:val="000000"/>
              <w:sz w:val="20"/>
            </w:rPr>
            <w:t>Prosiding</w:t>
          </w:r>
          <w:proofErr w:type="spellEnd"/>
          <w:r w:rsidRPr="003D7A01">
            <w:rPr>
              <w:rFonts w:ascii="Times New Roman" w:eastAsia="Times New Roman" w:hAnsi="Times New Roman"/>
              <w:i/>
              <w:iCs/>
              <w:color w:val="000000"/>
              <w:sz w:val="20"/>
            </w:rPr>
            <w:t xml:space="preserve"> Seminar Nasional Teknik Industri</w:t>
          </w:r>
          <w:r w:rsidRPr="003D7A01">
            <w:rPr>
              <w:rFonts w:ascii="Times New Roman" w:eastAsia="Times New Roman" w:hAnsi="Times New Roman"/>
              <w:color w:val="000000"/>
              <w:sz w:val="20"/>
            </w:rPr>
            <w:t>, vol. 1, no. 1, pp. 517–526, 2023.</w:t>
          </w:r>
        </w:p>
        <w:p w14:paraId="33C71102" w14:textId="77777777" w:rsidR="00D03084" w:rsidRPr="003D7A01" w:rsidRDefault="00D03084" w:rsidP="00F90251">
          <w:pPr>
            <w:autoSpaceDE w:val="0"/>
            <w:autoSpaceDN w:val="0"/>
            <w:spacing w:after="120"/>
            <w:ind w:left="-284" w:hanging="426"/>
            <w:jc w:val="both"/>
            <w:divId w:val="1600522204"/>
            <w:rPr>
              <w:rFonts w:ascii="Times New Roman" w:eastAsia="Times New Roman" w:hAnsi="Times New Roman"/>
              <w:color w:val="000000"/>
              <w:sz w:val="20"/>
            </w:rPr>
          </w:pPr>
          <w:r w:rsidRPr="003D7A01">
            <w:rPr>
              <w:rFonts w:ascii="Times New Roman" w:eastAsia="Times New Roman" w:hAnsi="Times New Roman"/>
              <w:color w:val="000000"/>
              <w:sz w:val="20"/>
            </w:rPr>
            <w:t>[22]</w:t>
          </w:r>
          <w:r w:rsidRPr="003D7A01">
            <w:rPr>
              <w:rFonts w:ascii="Times New Roman" w:eastAsia="Times New Roman" w:hAnsi="Times New Roman"/>
              <w:color w:val="000000"/>
              <w:sz w:val="20"/>
            </w:rPr>
            <w:tab/>
            <w:t xml:space="preserve">M. </w:t>
          </w:r>
          <w:proofErr w:type="spellStart"/>
          <w:r w:rsidRPr="003D7A01">
            <w:rPr>
              <w:rFonts w:ascii="Times New Roman" w:eastAsia="Times New Roman" w:hAnsi="Times New Roman"/>
              <w:color w:val="000000"/>
              <w:sz w:val="20"/>
            </w:rPr>
            <w:t>Alnahhal</w:t>
          </w:r>
          <w:proofErr w:type="spellEnd"/>
          <w:r w:rsidRPr="003D7A01">
            <w:rPr>
              <w:rFonts w:ascii="Times New Roman" w:eastAsia="Times New Roman" w:hAnsi="Times New Roman"/>
              <w:color w:val="000000"/>
              <w:sz w:val="20"/>
            </w:rPr>
            <w:t xml:space="preserve">, B. L. Aylak, M. Al Hazza, and A. </w:t>
          </w:r>
          <w:proofErr w:type="spellStart"/>
          <w:r w:rsidRPr="003D7A01">
            <w:rPr>
              <w:rFonts w:ascii="Times New Roman" w:eastAsia="Times New Roman" w:hAnsi="Times New Roman"/>
              <w:color w:val="000000"/>
              <w:sz w:val="20"/>
            </w:rPr>
            <w:t>Sakhrieh</w:t>
          </w:r>
          <w:proofErr w:type="spellEnd"/>
          <w:r w:rsidRPr="003D7A01">
            <w:rPr>
              <w:rFonts w:ascii="Times New Roman" w:eastAsia="Times New Roman" w:hAnsi="Times New Roman"/>
              <w:color w:val="000000"/>
              <w:sz w:val="20"/>
            </w:rPr>
            <w:t xml:space="preserve">, “Economic Order Quantity: A State-of-the-Art in the Era of Uncertain Supply Chains,” </w:t>
          </w:r>
          <w:r w:rsidRPr="003D7A01">
            <w:rPr>
              <w:rFonts w:ascii="Times New Roman" w:eastAsia="Times New Roman" w:hAnsi="Times New Roman"/>
              <w:i/>
              <w:iCs/>
              <w:color w:val="000000"/>
              <w:sz w:val="20"/>
            </w:rPr>
            <w:t>Sustainability (Switzerland)</w:t>
          </w:r>
          <w:r w:rsidRPr="003D7A01">
            <w:rPr>
              <w:rFonts w:ascii="Times New Roman" w:eastAsia="Times New Roman" w:hAnsi="Times New Roman"/>
              <w:color w:val="000000"/>
              <w:sz w:val="20"/>
            </w:rPr>
            <w:t xml:space="preserve">, vol. 16, no. 14, pp. 1–19, 2024,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10.3390/su16145965.</w:t>
          </w:r>
        </w:p>
        <w:p w14:paraId="76E4500A" w14:textId="77777777" w:rsidR="00D03084" w:rsidRPr="003D7A01" w:rsidRDefault="00D03084" w:rsidP="00F90251">
          <w:pPr>
            <w:autoSpaceDE w:val="0"/>
            <w:autoSpaceDN w:val="0"/>
            <w:spacing w:after="120"/>
            <w:ind w:left="-284" w:hanging="426"/>
            <w:jc w:val="both"/>
            <w:divId w:val="102117025"/>
            <w:rPr>
              <w:rFonts w:ascii="Times New Roman" w:eastAsia="Times New Roman" w:hAnsi="Times New Roman"/>
              <w:color w:val="000000"/>
              <w:sz w:val="20"/>
            </w:rPr>
          </w:pPr>
          <w:r w:rsidRPr="003D7A01">
            <w:rPr>
              <w:rFonts w:ascii="Times New Roman" w:eastAsia="Times New Roman" w:hAnsi="Times New Roman"/>
              <w:color w:val="000000"/>
              <w:sz w:val="20"/>
            </w:rPr>
            <w:t>[23]</w:t>
          </w:r>
          <w:r w:rsidRPr="003D7A01">
            <w:rPr>
              <w:rFonts w:ascii="Times New Roman" w:eastAsia="Times New Roman" w:hAnsi="Times New Roman"/>
              <w:color w:val="000000"/>
              <w:sz w:val="20"/>
            </w:rPr>
            <w:tab/>
            <w:t xml:space="preserve">S. Chopra and P. M. D. V. Kalra, </w:t>
          </w:r>
          <w:r w:rsidRPr="003D7A01">
            <w:rPr>
              <w:rFonts w:ascii="Times New Roman" w:eastAsia="Times New Roman" w:hAnsi="Times New Roman"/>
              <w:i/>
              <w:iCs/>
              <w:color w:val="000000"/>
              <w:sz w:val="20"/>
            </w:rPr>
            <w:t>Supply chain management, strategy, planning, and operations sixth edition.</w:t>
          </w:r>
          <w:r w:rsidRPr="003D7A01">
            <w:rPr>
              <w:rFonts w:ascii="Times New Roman" w:eastAsia="Times New Roman" w:hAnsi="Times New Roman"/>
              <w:color w:val="000000"/>
              <w:sz w:val="20"/>
            </w:rPr>
            <w:t>, vol. 3, no. 2. 2016.</w:t>
          </w:r>
        </w:p>
        <w:p w14:paraId="2FDF996D" w14:textId="77777777" w:rsidR="00D03084" w:rsidRPr="003D7A01" w:rsidRDefault="00D03084" w:rsidP="00F90251">
          <w:pPr>
            <w:autoSpaceDE w:val="0"/>
            <w:autoSpaceDN w:val="0"/>
            <w:spacing w:after="120"/>
            <w:ind w:left="-284" w:hanging="426"/>
            <w:jc w:val="both"/>
            <w:divId w:val="1898466394"/>
            <w:rPr>
              <w:rFonts w:ascii="Times New Roman" w:eastAsia="Times New Roman" w:hAnsi="Times New Roman"/>
              <w:color w:val="000000"/>
              <w:sz w:val="20"/>
            </w:rPr>
          </w:pPr>
          <w:r w:rsidRPr="003D7A01">
            <w:rPr>
              <w:rFonts w:ascii="Times New Roman" w:eastAsia="Times New Roman" w:hAnsi="Times New Roman"/>
              <w:color w:val="000000"/>
              <w:sz w:val="20"/>
            </w:rPr>
            <w:t>[24]</w:t>
          </w:r>
          <w:r w:rsidRPr="003D7A01">
            <w:rPr>
              <w:rFonts w:ascii="Times New Roman" w:eastAsia="Times New Roman" w:hAnsi="Times New Roman"/>
              <w:color w:val="000000"/>
              <w:sz w:val="20"/>
            </w:rPr>
            <w:tab/>
            <w:t xml:space="preserve">N. N. Farhana, W. F. Yahya, and K. </w:t>
          </w:r>
          <w:proofErr w:type="spellStart"/>
          <w:r w:rsidRPr="003D7A01">
            <w:rPr>
              <w:rFonts w:ascii="Times New Roman" w:eastAsia="Times New Roman" w:hAnsi="Times New Roman"/>
              <w:color w:val="000000"/>
              <w:sz w:val="20"/>
            </w:rPr>
            <w:t>Mubarok</w:t>
          </w:r>
          <w:proofErr w:type="spellEnd"/>
          <w:r w:rsidRPr="003D7A01">
            <w:rPr>
              <w:rFonts w:ascii="Times New Roman" w:eastAsia="Times New Roman" w:hAnsi="Times New Roman"/>
              <w:color w:val="000000"/>
              <w:sz w:val="20"/>
            </w:rPr>
            <w:t>, “</w:t>
          </w:r>
          <w:proofErr w:type="spellStart"/>
          <w:r w:rsidRPr="003D7A01">
            <w:rPr>
              <w:rFonts w:ascii="Times New Roman" w:eastAsia="Times New Roman" w:hAnsi="Times New Roman"/>
              <w:color w:val="000000"/>
              <w:sz w:val="20"/>
            </w:rPr>
            <w:t>Analisis</w:t>
          </w:r>
          <w:proofErr w:type="spellEnd"/>
          <w:r w:rsidRPr="003D7A01">
            <w:rPr>
              <w:rFonts w:ascii="Times New Roman" w:eastAsia="Times New Roman" w:hAnsi="Times New Roman"/>
              <w:color w:val="000000"/>
              <w:sz w:val="20"/>
            </w:rPr>
            <w:t xml:space="preserve"> Safety stock dan Reorder point </w:t>
          </w:r>
          <w:proofErr w:type="spellStart"/>
          <w:r w:rsidRPr="003D7A01">
            <w:rPr>
              <w:rFonts w:ascii="Times New Roman" w:eastAsia="Times New Roman" w:hAnsi="Times New Roman"/>
              <w:color w:val="000000"/>
              <w:sz w:val="20"/>
            </w:rPr>
            <w:t>Persediaan</w:t>
          </w:r>
          <w:proofErr w:type="spellEnd"/>
          <w:r w:rsidRPr="003D7A01">
            <w:rPr>
              <w:rFonts w:ascii="Times New Roman" w:eastAsia="Times New Roman" w:hAnsi="Times New Roman"/>
              <w:color w:val="000000"/>
              <w:sz w:val="20"/>
            </w:rPr>
            <w:t xml:space="preserve"> </w:t>
          </w:r>
          <w:proofErr w:type="spellStart"/>
          <w:r w:rsidRPr="003D7A01">
            <w:rPr>
              <w:rFonts w:ascii="Times New Roman" w:eastAsia="Times New Roman" w:hAnsi="Times New Roman"/>
              <w:color w:val="000000"/>
              <w:sz w:val="20"/>
            </w:rPr>
            <w:t>Produk</w:t>
          </w:r>
          <w:proofErr w:type="spellEnd"/>
          <w:r w:rsidRPr="003D7A01">
            <w:rPr>
              <w:rFonts w:ascii="Times New Roman" w:eastAsia="Times New Roman" w:hAnsi="Times New Roman"/>
              <w:color w:val="000000"/>
              <w:sz w:val="20"/>
            </w:rPr>
            <w:t xml:space="preserve"> Wheel-Grinding, 4" di PT XYZ,” </w:t>
          </w:r>
          <w:r w:rsidRPr="003D7A01">
            <w:rPr>
              <w:rFonts w:ascii="Times New Roman" w:eastAsia="Times New Roman" w:hAnsi="Times New Roman"/>
              <w:i/>
              <w:iCs/>
              <w:color w:val="000000"/>
              <w:sz w:val="20"/>
            </w:rPr>
            <w:t>JATRI-</w:t>
          </w:r>
          <w:proofErr w:type="spellStart"/>
          <w:r w:rsidRPr="003D7A01">
            <w:rPr>
              <w:rFonts w:ascii="Times New Roman" w:eastAsia="Times New Roman" w:hAnsi="Times New Roman"/>
              <w:i/>
              <w:iCs/>
              <w:color w:val="000000"/>
              <w:sz w:val="20"/>
            </w:rPr>
            <w:t>Jurnal</w:t>
          </w:r>
          <w:proofErr w:type="spellEnd"/>
          <w:r w:rsidRPr="003D7A01">
            <w:rPr>
              <w:rFonts w:ascii="Times New Roman" w:eastAsia="Times New Roman" w:hAnsi="Times New Roman"/>
              <w:i/>
              <w:iCs/>
              <w:color w:val="000000"/>
              <w:sz w:val="20"/>
            </w:rPr>
            <w:t xml:space="preserve"> Teknik Industri</w:t>
          </w:r>
          <w:r w:rsidRPr="003D7A01">
            <w:rPr>
              <w:rFonts w:ascii="Times New Roman" w:eastAsia="Times New Roman" w:hAnsi="Times New Roman"/>
              <w:color w:val="000000"/>
              <w:sz w:val="20"/>
            </w:rPr>
            <w:t xml:space="preserve">, vol. 8, no. 3, pp. 80–88, 2025, </w:t>
          </w:r>
          <w:proofErr w:type="spellStart"/>
          <w:r w:rsidRPr="003D7A01">
            <w:rPr>
              <w:rFonts w:ascii="Times New Roman" w:eastAsia="Times New Roman" w:hAnsi="Times New Roman"/>
              <w:color w:val="000000"/>
              <w:sz w:val="20"/>
            </w:rPr>
            <w:t>doi</w:t>
          </w:r>
          <w:proofErr w:type="spellEnd"/>
          <w:r w:rsidRPr="003D7A01">
            <w:rPr>
              <w:rFonts w:ascii="Times New Roman" w:eastAsia="Times New Roman" w:hAnsi="Times New Roman"/>
              <w:color w:val="000000"/>
              <w:sz w:val="20"/>
            </w:rPr>
            <w:t>: https://doi.org/10.30872/jatri.v3i1.2304.</w:t>
          </w:r>
        </w:p>
        <w:p w14:paraId="2282E34E" w14:textId="300DC5F0" w:rsidR="00254DF6" w:rsidRPr="003D7A01" w:rsidRDefault="00D03084" w:rsidP="0003786E">
          <w:pPr>
            <w:pStyle w:val="references"/>
            <w:numPr>
              <w:ilvl w:val="0"/>
              <w:numId w:val="0"/>
            </w:numPr>
            <w:rPr>
              <w:rFonts w:eastAsia="MS Mincho"/>
            </w:rPr>
          </w:pPr>
          <w:r w:rsidRPr="003D7A01">
            <w:rPr>
              <w:color w:val="000000"/>
            </w:rPr>
            <w:t> </w:t>
          </w:r>
        </w:p>
      </w:sdtContent>
    </w:sdt>
    <w:tbl>
      <w:tblPr>
        <w:tblW w:w="252" w:type="pct"/>
        <w:tblCellSpacing w:w="15" w:type="dxa"/>
        <w:tblCellMar>
          <w:top w:w="15" w:type="dxa"/>
          <w:left w:w="15" w:type="dxa"/>
          <w:bottom w:w="15" w:type="dxa"/>
          <w:right w:w="15" w:type="dxa"/>
        </w:tblCellMar>
        <w:tblLook w:val="0000" w:firstRow="0" w:lastRow="0" w:firstColumn="0" w:lastColumn="0" w:noHBand="0" w:noVBand="0"/>
      </w:tblPr>
      <w:tblGrid>
        <w:gridCol w:w="443"/>
      </w:tblGrid>
      <w:tr w:rsidR="00254DF6" w:rsidRPr="003D7A01" w14:paraId="2AA1DD64" w14:textId="77777777" w:rsidTr="00E21C70">
        <w:trPr>
          <w:tblCellSpacing w:w="15" w:type="dxa"/>
        </w:trPr>
        <w:tc>
          <w:tcPr>
            <w:tcW w:w="4330" w:type="pct"/>
          </w:tcPr>
          <w:p w14:paraId="1256E528" w14:textId="77777777" w:rsidR="00254DF6" w:rsidRPr="003D7A01" w:rsidRDefault="00254DF6" w:rsidP="00E21C70">
            <w:pPr>
              <w:pStyle w:val="Bibliography"/>
              <w:rPr>
                <w:sz w:val="24"/>
                <w:szCs w:val="24"/>
                <w:lang w:eastAsia="en-ID"/>
              </w:rPr>
            </w:pPr>
          </w:p>
        </w:tc>
      </w:tr>
    </w:tbl>
    <w:p w14:paraId="1EB6FF1A" w14:textId="77777777" w:rsidR="00254DF6" w:rsidRPr="003D7A01" w:rsidRDefault="00254DF6" w:rsidP="00E16CB6">
      <w:pPr>
        <w:tabs>
          <w:tab w:val="left" w:pos="4850"/>
        </w:tabs>
      </w:pPr>
    </w:p>
    <w:sectPr w:rsidR="00254DF6" w:rsidRPr="003D7A01" w:rsidSect="00E16CB6">
      <w:headerReference w:type="even" r:id="rId17"/>
      <w:headerReference w:type="default" r:id="rId18"/>
      <w:footerReference w:type="even" r:id="rId19"/>
      <w:footerReference w:type="default" r:id="rId20"/>
      <w:headerReference w:type="first" r:id="rId21"/>
      <w:footerReference w:type="first" r:id="rId22"/>
      <w:pgSz w:w="11906" w:h="16838"/>
      <w:pgMar w:top="1318" w:right="1418" w:bottom="1418" w:left="1701" w:header="709" w:footer="709" w:gutter="0"/>
      <w:pgNumType w:start="19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3BD41" w14:textId="77777777" w:rsidR="0039792C" w:rsidRDefault="0039792C" w:rsidP="0003786E">
      <w:pPr>
        <w:spacing w:after="0" w:line="240" w:lineRule="auto"/>
      </w:pPr>
      <w:r>
        <w:separator/>
      </w:r>
    </w:p>
  </w:endnote>
  <w:endnote w:type="continuationSeparator" w:id="0">
    <w:p w14:paraId="1376C9BF" w14:textId="77777777" w:rsidR="0039792C" w:rsidRDefault="0039792C" w:rsidP="00037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unicode">
    <w:altName w:val="Times New Roman"/>
    <w:charset w:val="00"/>
    <w:family w:val="auto"/>
    <w:pitch w:val="variable"/>
    <w:sig w:usb0="E40000FF" w:usb1="5000E4FF" w:usb2="00008004" w:usb3="00000000" w:csb0="8000009B"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Ebrima">
    <w:panose1 w:val="02000000000000000000"/>
    <w:charset w:val="00"/>
    <w:family w:val="auto"/>
    <w:pitch w:val="variable"/>
    <w:sig w:usb0="A000005F" w:usb1="02000041" w:usb2="000008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9145147"/>
      <w:docPartObj>
        <w:docPartGallery w:val="Page Numbers (Bottom of Page)"/>
        <w:docPartUnique/>
      </w:docPartObj>
    </w:sdtPr>
    <w:sdtEndPr>
      <w:rPr>
        <w:rFonts w:ascii="Times New Roman" w:hAnsi="Times New Roman"/>
        <w:noProof/>
      </w:rPr>
    </w:sdtEndPr>
    <w:sdtContent>
      <w:p w14:paraId="032B6E54" w14:textId="64DF8E2C" w:rsidR="00E16CB6" w:rsidRPr="00E16CB6" w:rsidRDefault="00E16CB6" w:rsidP="00E16CB6">
        <w:pPr>
          <w:pStyle w:val="Footer"/>
          <w:jc w:val="right"/>
          <w:rPr>
            <w:rFonts w:ascii="Times New Roman" w:hAnsi="Times New Roman"/>
          </w:rPr>
        </w:pPr>
        <w:r w:rsidRPr="00E16CB6">
          <w:rPr>
            <w:rFonts w:ascii="Times New Roman" w:hAnsi="Times New Roman"/>
          </w:rPr>
          <w:fldChar w:fldCharType="begin"/>
        </w:r>
        <w:r w:rsidRPr="00E16CB6">
          <w:rPr>
            <w:rFonts w:ascii="Times New Roman" w:hAnsi="Times New Roman"/>
          </w:rPr>
          <w:instrText xml:space="preserve"> PAGE   \* MERGEFORMAT </w:instrText>
        </w:r>
        <w:r w:rsidRPr="00E16CB6">
          <w:rPr>
            <w:rFonts w:ascii="Times New Roman" w:hAnsi="Times New Roman"/>
          </w:rPr>
          <w:fldChar w:fldCharType="separate"/>
        </w:r>
        <w:r w:rsidRPr="00E16CB6">
          <w:rPr>
            <w:rFonts w:ascii="Times New Roman" w:hAnsi="Times New Roman"/>
            <w:noProof/>
          </w:rPr>
          <w:t>2</w:t>
        </w:r>
        <w:r w:rsidRPr="00E16CB6">
          <w:rPr>
            <w:rFonts w:ascii="Times New Roman" w:hAnsi="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622020"/>
      <w:docPartObj>
        <w:docPartGallery w:val="Page Numbers (Bottom of Page)"/>
        <w:docPartUnique/>
      </w:docPartObj>
    </w:sdtPr>
    <w:sdtEndPr>
      <w:rPr>
        <w:rFonts w:ascii="Times New Roman" w:hAnsi="Times New Roman"/>
        <w:noProof/>
      </w:rPr>
    </w:sdtEndPr>
    <w:sdtContent>
      <w:p w14:paraId="1F2EE3A2" w14:textId="4AAB7346" w:rsidR="00E16CB6" w:rsidRPr="00E16CB6" w:rsidRDefault="00E16CB6" w:rsidP="00E16CB6">
        <w:pPr>
          <w:pStyle w:val="Footer"/>
          <w:jc w:val="right"/>
          <w:rPr>
            <w:rFonts w:ascii="Times New Roman" w:hAnsi="Times New Roman"/>
          </w:rPr>
        </w:pPr>
        <w:r w:rsidRPr="00E16CB6">
          <w:rPr>
            <w:rFonts w:ascii="Times New Roman" w:hAnsi="Times New Roman"/>
          </w:rPr>
          <w:fldChar w:fldCharType="begin"/>
        </w:r>
        <w:r w:rsidRPr="00E16CB6">
          <w:rPr>
            <w:rFonts w:ascii="Times New Roman" w:hAnsi="Times New Roman"/>
          </w:rPr>
          <w:instrText xml:space="preserve"> PAGE   \* MERGEFORMAT </w:instrText>
        </w:r>
        <w:r w:rsidRPr="00E16CB6">
          <w:rPr>
            <w:rFonts w:ascii="Times New Roman" w:hAnsi="Times New Roman"/>
          </w:rPr>
          <w:fldChar w:fldCharType="separate"/>
        </w:r>
        <w:r w:rsidRPr="00E16CB6">
          <w:rPr>
            <w:rFonts w:ascii="Times New Roman" w:hAnsi="Times New Roman"/>
            <w:noProof/>
          </w:rPr>
          <w:t>2</w:t>
        </w:r>
        <w:r w:rsidRPr="00E16CB6">
          <w:rPr>
            <w:rFonts w:ascii="Times New Roman" w:hAnsi="Times New Roman"/>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12BC" w14:textId="7BE13FFD" w:rsidR="00465A26" w:rsidRPr="00465A26" w:rsidRDefault="00465A26" w:rsidP="00465A26">
    <w:pPr>
      <w:shd w:val="clear" w:color="auto" w:fill="FFFFFF"/>
      <w:spacing w:before="240" w:after="0"/>
      <w:jc w:val="both"/>
      <w:rPr>
        <w:rFonts w:ascii="Times New Roman" w:eastAsia="Times New Roman" w:hAnsi="Times New Roman"/>
        <w:color w:val="8DB3E2"/>
        <w:sz w:val="18"/>
        <w:szCs w:val="18"/>
      </w:rPr>
    </w:pPr>
    <w:r>
      <w:rPr>
        <w:rFonts w:ascii="Times New Roman" w:eastAsia="Times New Roman" w:hAnsi="Times New Roman"/>
        <w:color w:val="8DB3E2"/>
        <w:sz w:val="18"/>
        <w:szCs w:val="18"/>
      </w:rPr>
      <w:t xml:space="preserve">Copyright © ---- THE AUTHOR(S).This article is distributed under a </w:t>
    </w:r>
    <w:hyperlink r:id="rId1">
      <w:r>
        <w:rPr>
          <w:rFonts w:ascii="Times New Roman" w:eastAsia="Times New Roman" w:hAnsi="Times New Roman"/>
          <w:color w:val="1155CC"/>
          <w:sz w:val="18"/>
          <w:szCs w:val="18"/>
          <w:u w:val="single"/>
        </w:rPr>
        <w:t>Creative Commons Attribution-Share Alike 4.0 International license</w:t>
      </w:r>
    </w:hyperlink>
    <w:r>
      <w:rPr>
        <w:rFonts w:ascii="Times New Roman" w:eastAsia="Times New Roman" w:hAnsi="Times New Roman"/>
        <w:color w:val="8DB3E2"/>
        <w:sz w:val="18"/>
        <w:szCs w:val="18"/>
      </w:rPr>
      <w:t xml:space="preserve">. </w:t>
    </w:r>
    <w:proofErr w:type="spellStart"/>
    <w:r>
      <w:rPr>
        <w:rFonts w:ascii="Times New Roman" w:eastAsia="Times New Roman" w:hAnsi="Times New Roman"/>
        <w:color w:val="8DB3E2"/>
        <w:sz w:val="18"/>
        <w:szCs w:val="18"/>
      </w:rPr>
      <w:t>Jurnal</w:t>
    </w:r>
    <w:proofErr w:type="spellEnd"/>
    <w:r>
      <w:rPr>
        <w:rFonts w:ascii="Times New Roman" w:eastAsia="Times New Roman" w:hAnsi="Times New Roman"/>
        <w:color w:val="8DB3E2"/>
        <w:sz w:val="18"/>
        <w:szCs w:val="18"/>
      </w:rPr>
      <w:t xml:space="preserve"> Media Teknik dan </w:t>
    </w:r>
    <w:proofErr w:type="spellStart"/>
    <w:r>
      <w:rPr>
        <w:rFonts w:ascii="Times New Roman" w:eastAsia="Times New Roman" w:hAnsi="Times New Roman"/>
        <w:color w:val="8DB3E2"/>
        <w:sz w:val="18"/>
        <w:szCs w:val="18"/>
      </w:rPr>
      <w:t>Sistem</w:t>
    </w:r>
    <w:proofErr w:type="spellEnd"/>
    <w:r>
      <w:rPr>
        <w:rFonts w:ascii="Times New Roman" w:eastAsia="Times New Roman" w:hAnsi="Times New Roman"/>
        <w:color w:val="8DB3E2"/>
        <w:sz w:val="18"/>
        <w:szCs w:val="18"/>
      </w:rPr>
      <w:t xml:space="preserve"> Industri  is published by Universitas </w:t>
    </w:r>
    <w:proofErr w:type="spellStart"/>
    <w:r>
      <w:rPr>
        <w:rFonts w:ascii="Times New Roman" w:eastAsia="Times New Roman" w:hAnsi="Times New Roman"/>
        <w:color w:val="8DB3E2"/>
        <w:sz w:val="18"/>
        <w:szCs w:val="18"/>
      </w:rPr>
      <w:t>Suryakancana</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9A574" w14:textId="77777777" w:rsidR="0039792C" w:rsidRDefault="0039792C" w:rsidP="0003786E">
      <w:pPr>
        <w:spacing w:after="0" w:line="240" w:lineRule="auto"/>
      </w:pPr>
      <w:r>
        <w:separator/>
      </w:r>
    </w:p>
  </w:footnote>
  <w:footnote w:type="continuationSeparator" w:id="0">
    <w:p w14:paraId="4BCE82D7" w14:textId="77777777" w:rsidR="0039792C" w:rsidRDefault="0039792C" w:rsidP="000378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B456E" w14:textId="4DAEB156" w:rsidR="003D7A01" w:rsidRDefault="00F140C0" w:rsidP="00F140C0">
    <w:pPr>
      <w:pStyle w:val="Header"/>
      <w:tabs>
        <w:tab w:val="clear" w:pos="4513"/>
        <w:tab w:val="clear" w:pos="9026"/>
        <w:tab w:val="center" w:pos="4395"/>
        <w:tab w:val="right" w:pos="8789"/>
      </w:tabs>
      <w:rPr>
        <w:rFonts w:ascii="Times New Roman" w:hAnsi="Times New Roman"/>
        <w:i/>
        <w:iCs/>
        <w:noProof/>
        <w:sz w:val="18"/>
      </w:rPr>
    </w:pPr>
    <w:r w:rsidRPr="00F140C0">
      <w:rPr>
        <w:rFonts w:ascii="Times New Roman" w:hAnsi="Times New Roman"/>
        <w:i/>
        <w:iCs/>
        <w:noProof/>
        <w:sz w:val="18"/>
      </w:rPr>
      <mc:AlternateContent>
        <mc:Choice Requires="wps">
          <w:drawing>
            <wp:anchor distT="0" distB="0" distL="114300" distR="114300" simplePos="0" relativeHeight="251661312" behindDoc="0" locked="0" layoutInCell="1" allowOverlap="1" wp14:anchorId="7A39D5ED" wp14:editId="03A22D5E">
              <wp:simplePos x="0" y="0"/>
              <wp:positionH relativeFrom="column">
                <wp:posOffset>-32385</wp:posOffset>
              </wp:positionH>
              <wp:positionV relativeFrom="paragraph">
                <wp:posOffset>200025</wp:posOffset>
              </wp:positionV>
              <wp:extent cx="5581650" cy="0"/>
              <wp:effectExtent l="15240" t="9525" r="13335" b="9525"/>
              <wp:wrapNone/>
              <wp:docPr id="41661334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16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664E7D9" id="_x0000_t32" coordsize="21600,21600" o:spt="32" o:oned="t" path="m,l21600,21600e" filled="f">
              <v:path arrowok="t" fillok="f" o:connecttype="none"/>
              <o:lock v:ext="edit" shapetype="t"/>
            </v:shapetype>
            <v:shape id="AutoShape 13" o:spid="_x0000_s1026" type="#_x0000_t32" style="position:absolute;margin-left:-2.55pt;margin-top:15.75pt;width:439.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" strokeweight="1.5pt"/>
          </w:pict>
        </mc:Fallback>
      </mc:AlternateContent>
    </w:r>
    <w:r w:rsidR="00E16CB6">
      <w:rPr>
        <w:rFonts w:ascii="Times New Roman" w:hAnsi="Times New Roman"/>
        <w:i/>
        <w:iCs/>
        <w:noProof/>
        <w:sz w:val="18"/>
      </w:rPr>
      <w:t>Rizki et al.</w:t>
    </w:r>
  </w:p>
  <w:p w14:paraId="6FBDD080" w14:textId="77777777" w:rsidR="00E16CB6" w:rsidRPr="00F140C0" w:rsidRDefault="00E16CB6" w:rsidP="00F140C0">
    <w:pPr>
      <w:pStyle w:val="Header"/>
      <w:tabs>
        <w:tab w:val="clear" w:pos="4513"/>
        <w:tab w:val="clear" w:pos="9026"/>
        <w:tab w:val="center" w:pos="4395"/>
        <w:tab w:val="right" w:pos="8789"/>
      </w:tabs>
      <w:rPr>
        <w:rFonts w:ascii="Times New Roman" w:hAnsi="Times New Roman"/>
        <w:i/>
        <w:iCs/>
        <w:noProof/>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EE920" w14:textId="77777777" w:rsidR="00F140C0" w:rsidRPr="00D20C10" w:rsidRDefault="00F140C0" w:rsidP="00F140C0">
    <w:pPr>
      <w:pStyle w:val="Header"/>
      <w:tabs>
        <w:tab w:val="center" w:pos="4395"/>
      </w:tabs>
      <w:jc w:val="right"/>
      <w:rPr>
        <w:i/>
        <w:sz w:val="16"/>
        <w:szCs w:val="16"/>
        <w:lang w:val="id-ID"/>
      </w:rPr>
    </w:pPr>
    <w:r>
      <w:rPr>
        <w:noProof/>
      </w:rPr>
      <mc:AlternateContent>
        <mc:Choice Requires="wps">
          <w:drawing>
            <wp:anchor distT="0" distB="0" distL="114300" distR="114300" simplePos="0" relativeHeight="251663360" behindDoc="0" locked="0" layoutInCell="1" allowOverlap="1" wp14:anchorId="6FF22FA3" wp14:editId="391A7734">
              <wp:simplePos x="0" y="0"/>
              <wp:positionH relativeFrom="column">
                <wp:posOffset>5715</wp:posOffset>
              </wp:positionH>
              <wp:positionV relativeFrom="paragraph">
                <wp:posOffset>533400</wp:posOffset>
              </wp:positionV>
              <wp:extent cx="5695950" cy="0"/>
              <wp:effectExtent l="15240" t="9525" r="13335" b="9525"/>
              <wp:wrapNone/>
              <wp:docPr id="110173950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5C6331" id="_x0000_t32" coordsize="21600,21600" o:spt="32" o:oned="t" path="m,l21600,21600e" filled="f">
              <v:path arrowok="t" fillok="f" o:connecttype="none"/>
              <o:lock v:ext="edit" shapetype="t"/>
            </v:shapetype>
            <v:shape id="AutoShape 15" o:spid="_x0000_s1026" type="#_x0000_t32" style="position:absolute;margin-left:.45pt;margin-top:42pt;width:448.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" strokeweight="1.5pt"/>
          </w:pict>
        </mc:Fallback>
      </mc:AlternateContent>
    </w:r>
    <w:r w:rsidRPr="00D20C10">
      <w:rPr>
        <w:noProof/>
        <w:color w:val="000000"/>
      </w:rPr>
      <w:drawing>
        <wp:inline distT="0" distB="0" distL="0" distR="0" wp14:anchorId="475BCA73" wp14:editId="27727F56">
          <wp:extent cx="692150" cy="444500"/>
          <wp:effectExtent l="0" t="0" r="0" b="0"/>
          <wp:docPr id="214230207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extLst>
                      <a:ext uri="{28A0092B-C50C-407E-A947-70E740481C1C}">
                        <a14:useLocalDpi xmlns:a14="http://schemas.microsoft.com/office/drawing/2010/main" val="0"/>
                      </a:ext>
                    </a:extLst>
                  </a:blip>
                  <a:srcRect l="51888" t="-9479" r="2"/>
                  <a:stretch>
                    <a:fillRect/>
                  </a:stretch>
                </pic:blipFill>
                <pic:spPr bwMode="auto">
                  <a:xfrm>
                    <a:off x="0" y="0"/>
                    <a:ext cx="692150" cy="444500"/>
                  </a:xfrm>
                  <a:prstGeom prst="rect">
                    <a:avLst/>
                  </a:prstGeom>
                  <a:noFill/>
                  <a:ln>
                    <a:noFill/>
                  </a:ln>
                </pic:spPr>
              </pic:pic>
            </a:graphicData>
          </a:graphic>
        </wp:inline>
      </w:drawing>
    </w:r>
    <w:r>
      <w:rPr>
        <w:i/>
        <w:sz w:val="16"/>
        <w:szCs w:val="16"/>
        <w:lang w:val="id-ID"/>
      </w:rPr>
      <w:t xml:space="preserve"> </w:t>
    </w:r>
    <w:r w:rsidRPr="00322D02">
      <w:rPr>
        <w:i/>
        <w:sz w:val="16"/>
        <w:szCs w:val="16"/>
        <w:lang w:val="id-ID"/>
      </w:rPr>
      <w:br/>
    </w:r>
  </w:p>
  <w:p w14:paraId="31400A36" w14:textId="0934C9C0" w:rsidR="0003786E" w:rsidRPr="00F140C0" w:rsidRDefault="0003786E" w:rsidP="00F140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E1B0B" w14:textId="77777777" w:rsidR="00E16CB6" w:rsidRPr="00B464EF" w:rsidRDefault="00E16CB6" w:rsidP="00E16CB6">
    <w:pPr>
      <w:widowControl w:val="0"/>
      <w:pBdr>
        <w:top w:val="nil"/>
        <w:left w:val="nil"/>
        <w:bottom w:val="nil"/>
        <w:right w:val="nil"/>
        <w:between w:val="nil"/>
      </w:pBdr>
      <w:spacing w:after="0"/>
      <w:rPr>
        <w:color w:val="000000"/>
      </w:rPr>
    </w:pPr>
    <w:bookmarkStart w:id="0" w:name="_heading=h.gjdgxs" w:colFirst="0" w:colLast="0"/>
    <w:bookmarkEnd w:id="0"/>
  </w:p>
  <w:tbl>
    <w:tblPr>
      <w:tblW w:w="8730" w:type="dxa"/>
      <w:tblBorders>
        <w:top w:val="nil"/>
        <w:left w:val="nil"/>
        <w:bottom w:val="nil"/>
        <w:right w:val="nil"/>
        <w:insideH w:val="nil"/>
        <w:insideV w:val="nil"/>
      </w:tblBorders>
      <w:tblLayout w:type="fixed"/>
      <w:tblLook w:val="0400" w:firstRow="0" w:lastRow="0" w:firstColumn="0" w:lastColumn="0" w:noHBand="0" w:noVBand="1"/>
    </w:tblPr>
    <w:tblGrid>
      <w:gridCol w:w="1440"/>
      <w:gridCol w:w="4680"/>
      <w:gridCol w:w="2610"/>
    </w:tblGrid>
    <w:tr w:rsidR="00E16CB6" w:rsidRPr="00B464EF" w14:paraId="0E0284C0" w14:textId="77777777" w:rsidTr="00385A83">
      <w:trPr>
        <w:trHeight w:val="710"/>
      </w:trPr>
      <w:tc>
        <w:tcPr>
          <w:tcW w:w="1440" w:type="dxa"/>
        </w:tcPr>
        <w:p w14:paraId="6EB02B2B" w14:textId="77777777" w:rsidR="00E16CB6" w:rsidRPr="00B464EF" w:rsidRDefault="00E16CB6" w:rsidP="00E16CB6">
          <w:pPr>
            <w:pBdr>
              <w:top w:val="nil"/>
              <w:left w:val="nil"/>
              <w:bottom w:val="nil"/>
              <w:right w:val="nil"/>
              <w:between w:val="nil"/>
            </w:pBdr>
            <w:tabs>
              <w:tab w:val="center" w:pos="4513"/>
              <w:tab w:val="right" w:pos="9026"/>
            </w:tabs>
            <w:spacing w:after="0"/>
            <w:rPr>
              <w:color w:val="000000"/>
            </w:rPr>
          </w:pPr>
          <w:r w:rsidRPr="00B464EF">
            <w:rPr>
              <w:noProof/>
              <w:color w:val="000000"/>
            </w:rPr>
            <w:drawing>
              <wp:inline distT="0" distB="0" distL="0" distR="0" wp14:anchorId="6D6F2618" wp14:editId="5C155649">
                <wp:extent cx="723900" cy="425450"/>
                <wp:effectExtent l="0" t="0" r="0" b="0"/>
                <wp:docPr id="1261599528" name="Gambar 4" descr="Sebuah gambar berisi hitam, kegelapan&#10;&#10;Konten yang dihasilkan AI mungkin sal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4" descr="Sebuah gambar berisi hitam, kegelapan&#10;&#10;Konten yang dihasilkan AI mungkin sala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25450"/>
                        </a:xfrm>
                        <a:prstGeom prst="rect">
                          <a:avLst/>
                        </a:prstGeom>
                        <a:noFill/>
                        <a:ln>
                          <a:noFill/>
                        </a:ln>
                      </pic:spPr>
                    </pic:pic>
                  </a:graphicData>
                </a:graphic>
              </wp:inline>
            </w:drawing>
          </w:r>
        </w:p>
      </w:tc>
      <w:tc>
        <w:tcPr>
          <w:tcW w:w="4680" w:type="dxa"/>
        </w:tcPr>
        <w:p w14:paraId="7774F6F8" w14:textId="77777777" w:rsidR="00E16CB6" w:rsidRPr="00B464EF" w:rsidRDefault="00E16CB6" w:rsidP="00E16CB6">
          <w:pPr>
            <w:spacing w:after="0"/>
            <w:jc w:val="center"/>
            <w:rPr>
              <w:rFonts w:ascii="Times New Roman" w:eastAsia="Times New Roman" w:hAnsi="Times New Roman"/>
              <w:sz w:val="18"/>
              <w:szCs w:val="18"/>
            </w:rPr>
          </w:pPr>
          <w:proofErr w:type="spellStart"/>
          <w:r w:rsidRPr="00B464EF">
            <w:rPr>
              <w:rFonts w:ascii="Times New Roman" w:eastAsia="Times New Roman" w:hAnsi="Times New Roman"/>
              <w:sz w:val="18"/>
              <w:szCs w:val="18"/>
            </w:rPr>
            <w:t>Jurnal</w:t>
          </w:r>
          <w:proofErr w:type="spellEnd"/>
          <w:r w:rsidRPr="00B464EF">
            <w:rPr>
              <w:rFonts w:ascii="Times New Roman" w:eastAsia="Times New Roman" w:hAnsi="Times New Roman"/>
              <w:sz w:val="18"/>
              <w:szCs w:val="18"/>
            </w:rPr>
            <w:t xml:space="preserve"> Media Teknik &amp; </w:t>
          </w:r>
          <w:proofErr w:type="spellStart"/>
          <w:r w:rsidRPr="00B464EF">
            <w:rPr>
              <w:rFonts w:ascii="Times New Roman" w:eastAsia="Times New Roman" w:hAnsi="Times New Roman"/>
              <w:sz w:val="18"/>
              <w:szCs w:val="18"/>
            </w:rPr>
            <w:t>Sistem</w:t>
          </w:r>
          <w:proofErr w:type="spellEnd"/>
          <w:r w:rsidRPr="00B464EF">
            <w:rPr>
              <w:rFonts w:ascii="Times New Roman" w:eastAsia="Times New Roman" w:hAnsi="Times New Roman"/>
              <w:sz w:val="18"/>
              <w:szCs w:val="18"/>
            </w:rPr>
            <w:t xml:space="preserve"> Industri</w:t>
          </w:r>
        </w:p>
        <w:p w14:paraId="5D338D17" w14:textId="42751750" w:rsidR="00E16CB6" w:rsidRPr="00B464EF" w:rsidRDefault="00E16CB6" w:rsidP="00E16CB6">
          <w:pPr>
            <w:spacing w:after="0"/>
            <w:jc w:val="center"/>
            <w:rPr>
              <w:rFonts w:ascii="Times New Roman" w:eastAsia="Times New Roman" w:hAnsi="Times New Roman"/>
              <w:sz w:val="18"/>
              <w:szCs w:val="18"/>
            </w:rPr>
          </w:pPr>
          <w:r w:rsidRPr="00B464EF">
            <w:rPr>
              <w:rFonts w:ascii="Times New Roman" w:eastAsia="Times New Roman" w:hAnsi="Times New Roman"/>
              <w:sz w:val="18"/>
              <w:szCs w:val="18"/>
            </w:rPr>
            <w:t>Vol. 10, No. 2, (2026), 1</w:t>
          </w:r>
          <w:r>
            <w:rPr>
              <w:rFonts w:ascii="Times New Roman" w:eastAsia="Times New Roman" w:hAnsi="Times New Roman"/>
              <w:sz w:val="18"/>
              <w:szCs w:val="18"/>
            </w:rPr>
            <w:t>97</w:t>
          </w:r>
          <w:r w:rsidRPr="00B464EF">
            <w:rPr>
              <w:rFonts w:ascii="Times New Roman" w:eastAsia="Times New Roman" w:hAnsi="Times New Roman"/>
              <w:sz w:val="18"/>
              <w:szCs w:val="18"/>
            </w:rPr>
            <w:t xml:space="preserve"> – </w:t>
          </w:r>
          <w:r>
            <w:rPr>
              <w:rFonts w:ascii="Times New Roman" w:eastAsia="Times New Roman" w:hAnsi="Times New Roman"/>
              <w:sz w:val="18"/>
              <w:szCs w:val="18"/>
            </w:rPr>
            <w:t>2011</w:t>
          </w:r>
          <w:r w:rsidRPr="00B464EF">
            <w:rPr>
              <w:rFonts w:ascii="Times New Roman" w:eastAsia="Times New Roman" w:hAnsi="Times New Roman"/>
              <w:sz w:val="18"/>
              <w:szCs w:val="18"/>
            </w:rPr>
            <w:t xml:space="preserve"> </w:t>
          </w:r>
        </w:p>
        <w:p w14:paraId="1DB89515" w14:textId="77777777" w:rsidR="00E16CB6" w:rsidRPr="00B464EF" w:rsidRDefault="00E16CB6" w:rsidP="00E16CB6">
          <w:pPr>
            <w:spacing w:after="0"/>
            <w:jc w:val="center"/>
            <w:rPr>
              <w:rFonts w:ascii="Times New Roman" w:eastAsia="Times New Roman" w:hAnsi="Times New Roman"/>
              <w:sz w:val="18"/>
              <w:szCs w:val="18"/>
            </w:rPr>
          </w:pPr>
          <w:hyperlink r:id="rId2">
            <w:r w:rsidRPr="00B464EF">
              <w:rPr>
                <w:rFonts w:ascii="Times New Roman" w:eastAsia="Times New Roman" w:hAnsi="Times New Roman"/>
                <w:color w:val="1155CC"/>
                <w:sz w:val="18"/>
                <w:szCs w:val="18"/>
                <w:u w:val="single"/>
              </w:rPr>
              <w:t>http://jurnal.unsur.ac.id/JMTSI</w:t>
            </w:r>
          </w:hyperlink>
        </w:p>
      </w:tc>
      <w:tc>
        <w:tcPr>
          <w:tcW w:w="2610" w:type="dxa"/>
        </w:tcPr>
        <w:p w14:paraId="4D3C056B" w14:textId="77777777" w:rsidR="00E16CB6" w:rsidRPr="00B464EF" w:rsidRDefault="00E16CB6" w:rsidP="00E16CB6">
          <w:pPr>
            <w:spacing w:after="0"/>
            <w:rPr>
              <w:rFonts w:ascii="Times New Roman" w:eastAsia="Times New Roman" w:hAnsi="Times New Roman"/>
              <w:sz w:val="18"/>
              <w:szCs w:val="18"/>
            </w:rPr>
          </w:pPr>
          <w:r w:rsidRPr="00B464EF">
            <w:rPr>
              <w:rFonts w:ascii="Times New Roman" w:eastAsia="Times New Roman" w:hAnsi="Times New Roman"/>
              <w:sz w:val="18"/>
              <w:szCs w:val="18"/>
            </w:rPr>
            <w:t>e-</w:t>
          </w:r>
          <w:proofErr w:type="spellStart"/>
          <w:r w:rsidRPr="00B464EF">
            <w:rPr>
              <w:rFonts w:ascii="Times New Roman" w:eastAsia="Times New Roman" w:hAnsi="Times New Roman"/>
              <w:sz w:val="18"/>
              <w:szCs w:val="18"/>
            </w:rPr>
            <w:t>issn</w:t>
          </w:r>
          <w:proofErr w:type="spellEnd"/>
          <w:r w:rsidRPr="00B464EF">
            <w:rPr>
              <w:rFonts w:ascii="Times New Roman" w:eastAsia="Times New Roman" w:hAnsi="Times New Roman"/>
              <w:sz w:val="18"/>
              <w:szCs w:val="18"/>
            </w:rPr>
            <w:t>:</w:t>
          </w:r>
          <w:r w:rsidRPr="00B464EF">
            <w:rPr>
              <w:sz w:val="18"/>
              <w:szCs w:val="18"/>
            </w:rPr>
            <w:t xml:space="preserve"> </w:t>
          </w:r>
          <w:hyperlink r:id="rId3">
            <w:r w:rsidRPr="00B464EF">
              <w:rPr>
                <w:rFonts w:ascii="Times New Roman" w:eastAsia="Times New Roman" w:hAnsi="Times New Roman"/>
                <w:color w:val="1155CC"/>
                <w:sz w:val="18"/>
                <w:szCs w:val="18"/>
                <w:u w:val="single"/>
              </w:rPr>
              <w:t>2581-0561</w:t>
            </w:r>
          </w:hyperlink>
        </w:p>
        <w:p w14:paraId="12A8BBF5" w14:textId="77777777" w:rsidR="00E16CB6" w:rsidRPr="00B464EF" w:rsidRDefault="00E16CB6" w:rsidP="00E16CB6">
          <w:pPr>
            <w:spacing w:after="0"/>
            <w:rPr>
              <w:rFonts w:ascii="Times New Roman" w:eastAsia="Times New Roman" w:hAnsi="Times New Roman"/>
              <w:sz w:val="18"/>
              <w:szCs w:val="18"/>
            </w:rPr>
          </w:pPr>
          <w:r w:rsidRPr="00B464EF">
            <w:rPr>
              <w:rFonts w:ascii="Times New Roman" w:eastAsia="Times New Roman" w:hAnsi="Times New Roman"/>
              <w:sz w:val="18"/>
              <w:szCs w:val="18"/>
            </w:rPr>
            <w:t>p-</w:t>
          </w:r>
          <w:proofErr w:type="spellStart"/>
          <w:r w:rsidRPr="00B464EF">
            <w:rPr>
              <w:rFonts w:ascii="Times New Roman" w:eastAsia="Times New Roman" w:hAnsi="Times New Roman"/>
              <w:sz w:val="18"/>
              <w:szCs w:val="18"/>
            </w:rPr>
            <w:t>issn</w:t>
          </w:r>
          <w:proofErr w:type="spellEnd"/>
          <w:r w:rsidRPr="00B464EF">
            <w:rPr>
              <w:rFonts w:ascii="Times New Roman" w:eastAsia="Times New Roman" w:hAnsi="Times New Roman"/>
              <w:sz w:val="18"/>
              <w:szCs w:val="18"/>
            </w:rPr>
            <w:t xml:space="preserve">: </w:t>
          </w:r>
          <w:hyperlink r:id="rId4">
            <w:r w:rsidRPr="00B464EF">
              <w:rPr>
                <w:rFonts w:ascii="Times New Roman" w:eastAsia="Times New Roman" w:hAnsi="Times New Roman"/>
                <w:color w:val="1155CC"/>
                <w:sz w:val="18"/>
                <w:szCs w:val="18"/>
                <w:u w:val="single"/>
              </w:rPr>
              <w:t>2581-0529</w:t>
            </w:r>
          </w:hyperlink>
        </w:p>
        <w:p w14:paraId="6E3F5090" w14:textId="6DC1DFAA" w:rsidR="00E16CB6" w:rsidRPr="00B464EF" w:rsidRDefault="00E16CB6" w:rsidP="00E16CB6">
          <w:pPr>
            <w:spacing w:after="0"/>
            <w:rPr>
              <w:rFonts w:ascii="Times New Roman" w:eastAsia="Times New Roman" w:hAnsi="Times New Roman"/>
              <w:sz w:val="18"/>
              <w:szCs w:val="18"/>
            </w:rPr>
          </w:pPr>
          <w:r w:rsidRPr="00B464EF">
            <w:rPr>
              <w:rFonts w:ascii="Times New Roman" w:eastAsia="Times New Roman" w:hAnsi="Times New Roman"/>
              <w:sz w:val="18"/>
              <w:szCs w:val="18"/>
            </w:rPr>
            <w:t>DOI 10.35194/ jmtsi.v10i2.</w:t>
          </w:r>
          <w:r>
            <w:rPr>
              <w:rFonts w:ascii="Times New Roman" w:eastAsia="Times New Roman" w:hAnsi="Times New Roman"/>
              <w:sz w:val="18"/>
              <w:szCs w:val="18"/>
            </w:rPr>
            <w:t>58</w:t>
          </w:r>
          <w:r>
            <w:rPr>
              <w:rFonts w:ascii="Times New Roman" w:eastAsia="Times New Roman" w:hAnsi="Times New Roman"/>
              <w:sz w:val="18"/>
              <w:szCs w:val="18"/>
            </w:rPr>
            <w:t>39</w:t>
          </w:r>
        </w:p>
      </w:tc>
    </w:tr>
  </w:tbl>
  <w:p w14:paraId="11AB648A" w14:textId="77777777" w:rsidR="00E16CB6" w:rsidRPr="00B464EF" w:rsidRDefault="00E16CB6" w:rsidP="00E16CB6">
    <w:pPr>
      <w:pStyle w:val="Header"/>
      <w:ind w:left="1418"/>
    </w:pPr>
    <w:r w:rsidRPr="00B464EF">
      <w:rPr>
        <w:noProof/>
      </w:rPr>
      <mc:AlternateContent>
        <mc:Choice Requires="wps">
          <w:drawing>
            <wp:anchor distT="0" distB="0" distL="114300" distR="114300" simplePos="0" relativeHeight="251665408" behindDoc="0" locked="0" layoutInCell="1" allowOverlap="1" wp14:anchorId="399C1A31" wp14:editId="34A5A451">
              <wp:simplePos x="0" y="0"/>
              <wp:positionH relativeFrom="column">
                <wp:posOffset>-635</wp:posOffset>
              </wp:positionH>
              <wp:positionV relativeFrom="paragraph">
                <wp:posOffset>167005</wp:posOffset>
              </wp:positionV>
              <wp:extent cx="5511800" cy="0"/>
              <wp:effectExtent l="22225" t="20955" r="19050" b="17145"/>
              <wp:wrapNone/>
              <wp:docPr id="1846151204"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1800" cy="0"/>
                      </a:xfrm>
                      <a:prstGeom prst="straightConnector1">
                        <a:avLst/>
                      </a:prstGeom>
                      <a:noFill/>
                      <a:ln w="2857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22403F" id="_x0000_t32" coordsize="21600,21600" o:spt="32" o:oned="t" path="m,l21600,21600e" filled="f">
              <v:path arrowok="t" fillok="f" o:connecttype="none"/>
              <o:lock v:ext="edit" shapetype="t"/>
            </v:shapetype>
            <v:shape id="AutoShape 16" o:spid="_x0000_s1026" type="#_x0000_t32" style="position:absolute;margin-left:-.05pt;margin-top:13.15pt;width:43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" strokecolor="#002060" strokeweight="2.25pt"/>
          </w:pict>
        </mc:Fallback>
      </mc:AlternateContent>
    </w:r>
    <w:r w:rsidRPr="00B464EF">
      <w:tab/>
    </w:r>
    <w:r w:rsidRPr="00B464EF">
      <w:tab/>
    </w:r>
  </w:p>
  <w:p w14:paraId="5D1E829F" w14:textId="77777777" w:rsidR="003D7A01" w:rsidRPr="00E16CB6" w:rsidRDefault="003D7A01" w:rsidP="00E16C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42087"/>
    <w:multiLevelType w:val="multilevel"/>
    <w:tmpl w:val="24342087"/>
    <w:lvl w:ilvl="0">
      <w:start w:val="1"/>
      <w:numFmt w:val="upperRoman"/>
      <w:pStyle w:val="IEEEHeading2"/>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522E44"/>
    <w:multiLevelType w:val="multilevel"/>
    <w:tmpl w:val="27522E44"/>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 w15:restartNumberingAfterBreak="0">
    <w:nsid w:val="37660336"/>
    <w:multiLevelType w:val="multilevel"/>
    <w:tmpl w:val="37660336"/>
    <w:lvl w:ilvl="0">
      <w:start w:val="1"/>
      <w:numFmt w:val="bullet"/>
      <w:pStyle w:val="bulletlist"/>
      <w:lvlText w:val=""/>
      <w:lvlJc w:val="left"/>
      <w:pPr>
        <w:tabs>
          <w:tab w:val="num" w:pos="648"/>
        </w:tabs>
        <w:ind w:left="648"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404432"/>
    <w:multiLevelType w:val="multilevel"/>
    <w:tmpl w:val="3B40443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4189603E"/>
    <w:multiLevelType w:val="multilevel"/>
    <w:tmpl w:val="29668EFC"/>
    <w:lvl w:ilvl="0">
      <w:start w:val="1"/>
      <w:numFmt w:val="decimal"/>
      <w:lvlText w:val="%1."/>
      <w:lvlJc w:val="left"/>
      <w:pPr>
        <w:ind w:left="360" w:hanging="360"/>
      </w:pPr>
      <w:rPr>
        <w:rFonts w:hint="default"/>
        <w:caps w:val="0"/>
        <w:strike w:val="0"/>
        <w:dstrike w:val="0"/>
        <w:vanish w:val="0"/>
        <w:color w:val="auto"/>
        <w:sz w:val="22"/>
        <w:szCs w:val="22"/>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52CA544A"/>
    <w:multiLevelType w:val="singleLevel"/>
    <w:tmpl w:val="52CA544A"/>
    <w:lvl w:ilvl="0">
      <w:start w:val="1"/>
      <w:numFmt w:val="decimal"/>
      <w:pStyle w:val="references"/>
      <w:lvlText w:val="[%1]"/>
      <w:lvlJc w:val="left"/>
      <w:pPr>
        <w:ind w:left="360" w:hanging="360"/>
      </w:pPr>
      <w:rPr>
        <w:rFonts w:ascii="Junicode" w:hAnsi="Junicode" w:cs="Times New Roman" w:hint="default"/>
        <w:b w:val="0"/>
        <w:bCs w:val="0"/>
        <w:i w:val="0"/>
        <w:iCs w:val="0"/>
        <w:sz w:val="20"/>
        <w:szCs w:val="20"/>
      </w:rPr>
    </w:lvl>
  </w:abstractNum>
  <w:abstractNum w:abstractNumId="6" w15:restartNumberingAfterBreak="0">
    <w:nsid w:val="55D4609B"/>
    <w:multiLevelType w:val="multilevel"/>
    <w:tmpl w:val="55D4609B"/>
    <w:lvl w:ilvl="0">
      <w:start w:val="1"/>
      <w:numFmt w:val="decimal"/>
      <w:pStyle w:val="DaftarReferensi"/>
      <w:lvlText w:val="%1."/>
      <w:lvlJc w:val="left"/>
      <w:pPr>
        <w:ind w:left="720" w:hanging="360"/>
      </w:pPr>
    </w:lvl>
    <w:lvl w:ilvl="1">
      <w:start w:val="1"/>
      <w:numFmt w:val="decimal"/>
      <w:lvlText w:val="%1.%2"/>
      <w:lvlJc w:val="left"/>
      <w:pPr>
        <w:ind w:left="1050" w:hanging="69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 w15:restartNumberingAfterBreak="0">
    <w:nsid w:val="5F6E3B3E"/>
    <w:multiLevelType w:val="hybridMultilevel"/>
    <w:tmpl w:val="4572930C"/>
    <w:lvl w:ilvl="0" w:tplc="C73A87FE">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1567D8F"/>
    <w:multiLevelType w:val="hybridMultilevel"/>
    <w:tmpl w:val="4C689644"/>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64637827"/>
    <w:multiLevelType w:val="multilevel"/>
    <w:tmpl w:val="64637827"/>
    <w:lvl w:ilvl="0">
      <w:start w:val="1"/>
      <w:numFmt w:val="decimal"/>
      <w:lvlText w:val="3.%1."/>
      <w:lvlJc w:val="left"/>
      <w:pPr>
        <w:ind w:left="36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C402C58"/>
    <w:multiLevelType w:val="multilevel"/>
    <w:tmpl w:val="6C402C58"/>
    <w:lvl w:ilvl="0">
      <w:start w:val="1"/>
      <w:numFmt w:val="decimal"/>
      <w:pStyle w:val="figurecaption"/>
      <w:lvlText w:val="Fig. %1."/>
      <w:lvlJc w:val="left"/>
      <w:pPr>
        <w:ind w:left="360" w:hanging="360"/>
      </w:pPr>
      <w:rPr>
        <w:rFonts w:ascii="Junicode" w:hAnsi="Junicode" w:cs="Times New Roman" w:hint="default"/>
        <w:b/>
        <w:bCs w:val="0"/>
        <w:i w:val="0"/>
        <w:iCs w:val="0"/>
        <w:caps w:val="0"/>
        <w:vanish w:val="0"/>
        <w:color w:val="auto"/>
        <w:sz w:val="20"/>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6CD32DA8"/>
    <w:multiLevelType w:val="singleLevel"/>
    <w:tmpl w:val="6CD32DA8"/>
    <w:lvl w:ilvl="0">
      <w:start w:val="1"/>
      <w:numFmt w:val="decimal"/>
      <w:pStyle w:val="tablehead"/>
      <w:lvlText w:val="Table %1. "/>
      <w:lvlJc w:val="left"/>
      <w:pPr>
        <w:ind w:left="360" w:hanging="360"/>
      </w:pPr>
      <w:rPr>
        <w:rFonts w:ascii="Junicode" w:hAnsi="Junicode" w:cs="Times New Roman" w:hint="default"/>
        <w:b/>
        <w:bCs w:val="0"/>
        <w:i w:val="0"/>
        <w:iCs w:val="0"/>
        <w:caps w:val="0"/>
        <w:strike w:val="0"/>
        <w:dstrike w:val="0"/>
        <w:vanish w:val="0"/>
        <w:color w:val="000000"/>
        <w:sz w:val="20"/>
        <w:szCs w:val="16"/>
        <w:vertAlign w:val="baseline"/>
      </w:rPr>
    </w:lvl>
  </w:abstractNum>
  <w:abstractNum w:abstractNumId="12" w15:restartNumberingAfterBreak="0">
    <w:nsid w:val="7CD255F0"/>
    <w:multiLevelType w:val="multilevel"/>
    <w:tmpl w:val="7CD255F0"/>
    <w:lvl w:ilvl="0">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num w:numId="1" w16cid:durableId="1865903616">
    <w:abstractNumId w:val="4"/>
  </w:num>
  <w:num w:numId="2" w16cid:durableId="1178737772">
    <w:abstractNumId w:val="9"/>
  </w:num>
  <w:num w:numId="3" w16cid:durableId="608320267">
    <w:abstractNumId w:val="2"/>
  </w:num>
  <w:num w:numId="4" w16cid:durableId="1577397974">
    <w:abstractNumId w:val="10"/>
  </w:num>
  <w:num w:numId="5" w16cid:durableId="2095545250">
    <w:abstractNumId w:val="5"/>
  </w:num>
  <w:num w:numId="6" w16cid:durableId="1394085092">
    <w:abstractNumId w:val="12"/>
  </w:num>
  <w:num w:numId="7" w16cid:durableId="644042470">
    <w:abstractNumId w:val="11"/>
  </w:num>
  <w:num w:numId="8" w16cid:durableId="234710430">
    <w:abstractNumId w:val="6"/>
  </w:num>
  <w:num w:numId="9" w16cid:durableId="970211746">
    <w:abstractNumId w:val="0"/>
  </w:num>
  <w:num w:numId="10" w16cid:durableId="531114030">
    <w:abstractNumId w:val="1"/>
  </w:num>
  <w:num w:numId="11" w16cid:durableId="746658983">
    <w:abstractNumId w:val="3"/>
  </w:num>
  <w:num w:numId="12" w16cid:durableId="1679116534">
    <w:abstractNumId w:val="7"/>
  </w:num>
  <w:num w:numId="13" w16cid:durableId="17045939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EF4"/>
    <w:rsid w:val="00035042"/>
    <w:rsid w:val="0003786E"/>
    <w:rsid w:val="00051CDF"/>
    <w:rsid w:val="00067F6E"/>
    <w:rsid w:val="000965D7"/>
    <w:rsid w:val="000D15E0"/>
    <w:rsid w:val="001150F1"/>
    <w:rsid w:val="001F6863"/>
    <w:rsid w:val="00204756"/>
    <w:rsid w:val="00254DF6"/>
    <w:rsid w:val="00287AF4"/>
    <w:rsid w:val="00360F95"/>
    <w:rsid w:val="00364F0D"/>
    <w:rsid w:val="00371B9B"/>
    <w:rsid w:val="0039792C"/>
    <w:rsid w:val="003C40A1"/>
    <w:rsid w:val="003D7A01"/>
    <w:rsid w:val="004060E2"/>
    <w:rsid w:val="00417BAB"/>
    <w:rsid w:val="00457444"/>
    <w:rsid w:val="00465A26"/>
    <w:rsid w:val="004A2C63"/>
    <w:rsid w:val="004A7DF6"/>
    <w:rsid w:val="00534074"/>
    <w:rsid w:val="0060006C"/>
    <w:rsid w:val="006153BF"/>
    <w:rsid w:val="006D3B5F"/>
    <w:rsid w:val="00727D3C"/>
    <w:rsid w:val="0073721C"/>
    <w:rsid w:val="0074751F"/>
    <w:rsid w:val="007A4B0B"/>
    <w:rsid w:val="007A6EF4"/>
    <w:rsid w:val="007B785A"/>
    <w:rsid w:val="007F1DAD"/>
    <w:rsid w:val="00804923"/>
    <w:rsid w:val="00830BA6"/>
    <w:rsid w:val="008B34F6"/>
    <w:rsid w:val="00947529"/>
    <w:rsid w:val="00A56D04"/>
    <w:rsid w:val="00A62ED0"/>
    <w:rsid w:val="00AB1222"/>
    <w:rsid w:val="00AE3A5B"/>
    <w:rsid w:val="00B21D95"/>
    <w:rsid w:val="00B260C5"/>
    <w:rsid w:val="00B34FE5"/>
    <w:rsid w:val="00B76C11"/>
    <w:rsid w:val="00BB3CCB"/>
    <w:rsid w:val="00BC29FC"/>
    <w:rsid w:val="00BF08BD"/>
    <w:rsid w:val="00C324E9"/>
    <w:rsid w:val="00C34D68"/>
    <w:rsid w:val="00CB2731"/>
    <w:rsid w:val="00CC1D18"/>
    <w:rsid w:val="00D03084"/>
    <w:rsid w:val="00D627CB"/>
    <w:rsid w:val="00D8311C"/>
    <w:rsid w:val="00DA5912"/>
    <w:rsid w:val="00DA772C"/>
    <w:rsid w:val="00DD03AA"/>
    <w:rsid w:val="00E16CB6"/>
    <w:rsid w:val="00EB7240"/>
    <w:rsid w:val="00EC31EB"/>
    <w:rsid w:val="00ED4B3E"/>
    <w:rsid w:val="00ED7E3D"/>
    <w:rsid w:val="00F140C0"/>
    <w:rsid w:val="00F35AF8"/>
    <w:rsid w:val="00F778BA"/>
    <w:rsid w:val="00F90251"/>
    <w:rsid w:val="00FC45B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2A20B"/>
  <w15:chartTrackingRefBased/>
  <w15:docId w15:val="{1CF8D7C0-B76B-4C89-B932-E08CC486D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86E"/>
    <w:pPr>
      <w:spacing w:line="259"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7A6E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9"/>
    <w:unhideWhenUsed/>
    <w:qFormat/>
    <w:rsid w:val="007A6E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9"/>
    <w:unhideWhenUsed/>
    <w:qFormat/>
    <w:rsid w:val="007A6E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9"/>
    <w:unhideWhenUsed/>
    <w:qFormat/>
    <w:rsid w:val="007A6E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9"/>
    <w:unhideWhenUsed/>
    <w:qFormat/>
    <w:rsid w:val="007A6E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6E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6E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6E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6E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7A6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9"/>
    <w:rsid w:val="007A6E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7A6E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7A6E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6E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6E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6E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6EF4"/>
    <w:rPr>
      <w:rFonts w:eastAsiaTheme="majorEastAsia" w:cstheme="majorBidi"/>
      <w:color w:val="272727" w:themeColor="text1" w:themeTint="D8"/>
    </w:rPr>
  </w:style>
  <w:style w:type="paragraph" w:styleId="Title">
    <w:name w:val="Title"/>
    <w:basedOn w:val="Normal"/>
    <w:next w:val="Normal"/>
    <w:link w:val="TitleChar"/>
    <w:uiPriority w:val="10"/>
    <w:qFormat/>
    <w:rsid w:val="007A6E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6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6E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6E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6EF4"/>
    <w:pPr>
      <w:spacing w:before="160"/>
      <w:jc w:val="center"/>
    </w:pPr>
    <w:rPr>
      <w:i/>
      <w:iCs/>
      <w:color w:val="404040" w:themeColor="text1" w:themeTint="BF"/>
    </w:rPr>
  </w:style>
  <w:style w:type="character" w:customStyle="1" w:styleId="QuoteChar">
    <w:name w:val="Quote Char"/>
    <w:basedOn w:val="DefaultParagraphFont"/>
    <w:link w:val="Quote"/>
    <w:uiPriority w:val="29"/>
    <w:rsid w:val="007A6EF4"/>
    <w:rPr>
      <w:i/>
      <w:iCs/>
      <w:color w:val="404040" w:themeColor="text1" w:themeTint="BF"/>
    </w:rPr>
  </w:style>
  <w:style w:type="paragraph" w:styleId="ListParagraph">
    <w:name w:val="List Paragraph"/>
    <w:basedOn w:val="Normal"/>
    <w:uiPriority w:val="34"/>
    <w:qFormat/>
    <w:rsid w:val="007A6EF4"/>
    <w:pPr>
      <w:ind w:left="720"/>
      <w:contextualSpacing/>
    </w:pPr>
  </w:style>
  <w:style w:type="character" w:styleId="IntenseEmphasis">
    <w:name w:val="Intense Emphasis"/>
    <w:basedOn w:val="DefaultParagraphFont"/>
    <w:uiPriority w:val="21"/>
    <w:qFormat/>
    <w:rsid w:val="007A6EF4"/>
    <w:rPr>
      <w:i/>
      <w:iCs/>
      <w:color w:val="0F4761" w:themeColor="accent1" w:themeShade="BF"/>
    </w:rPr>
  </w:style>
  <w:style w:type="paragraph" w:styleId="IntenseQuote">
    <w:name w:val="Intense Quote"/>
    <w:basedOn w:val="Normal"/>
    <w:next w:val="Normal"/>
    <w:link w:val="IntenseQuoteChar"/>
    <w:uiPriority w:val="30"/>
    <w:qFormat/>
    <w:rsid w:val="007A6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6EF4"/>
    <w:rPr>
      <w:i/>
      <w:iCs/>
      <w:color w:val="0F4761" w:themeColor="accent1" w:themeShade="BF"/>
    </w:rPr>
  </w:style>
  <w:style w:type="character" w:styleId="IntenseReference">
    <w:name w:val="Intense Reference"/>
    <w:basedOn w:val="DefaultParagraphFont"/>
    <w:uiPriority w:val="32"/>
    <w:qFormat/>
    <w:rsid w:val="007A6EF4"/>
    <w:rPr>
      <w:b/>
      <w:bCs/>
      <w:smallCaps/>
      <w:color w:val="0F4761" w:themeColor="accent1" w:themeShade="BF"/>
      <w:spacing w:val="5"/>
    </w:rPr>
  </w:style>
  <w:style w:type="paragraph" w:styleId="Header">
    <w:name w:val="header"/>
    <w:basedOn w:val="Normal"/>
    <w:link w:val="HeaderChar"/>
    <w:uiPriority w:val="99"/>
    <w:unhideWhenUsed/>
    <w:rsid w:val="000378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86E"/>
  </w:style>
  <w:style w:type="paragraph" w:styleId="Footer">
    <w:name w:val="footer"/>
    <w:basedOn w:val="Normal"/>
    <w:link w:val="FooterChar"/>
    <w:uiPriority w:val="99"/>
    <w:unhideWhenUsed/>
    <w:rsid w:val="000378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86E"/>
  </w:style>
  <w:style w:type="paragraph" w:styleId="BodyText">
    <w:name w:val="Body Text"/>
    <w:basedOn w:val="Normal"/>
    <w:link w:val="BodyTextChar"/>
    <w:uiPriority w:val="99"/>
    <w:rsid w:val="0003786E"/>
    <w:pPr>
      <w:tabs>
        <w:tab w:val="left" w:pos="288"/>
      </w:tabs>
      <w:spacing w:after="120" w:line="228" w:lineRule="auto"/>
      <w:ind w:firstLine="288"/>
      <w:jc w:val="both"/>
    </w:pPr>
    <w:rPr>
      <w:rFonts w:ascii="Times New Roman" w:eastAsia="MS Mincho" w:hAnsi="Times New Roman"/>
      <w:spacing w:val="-1"/>
      <w:szCs w:val="20"/>
    </w:rPr>
  </w:style>
  <w:style w:type="character" w:customStyle="1" w:styleId="BodyTextChar">
    <w:name w:val="Body Text Char"/>
    <w:basedOn w:val="DefaultParagraphFont"/>
    <w:link w:val="BodyText"/>
    <w:uiPriority w:val="99"/>
    <w:rsid w:val="0003786E"/>
    <w:rPr>
      <w:rFonts w:ascii="Times New Roman" w:eastAsia="MS Mincho" w:hAnsi="Times New Roman" w:cs="Times New Roman"/>
      <w:spacing w:val="-1"/>
      <w:kern w:val="0"/>
      <w:sz w:val="22"/>
      <w:szCs w:val="20"/>
      <w:lang w:val="en-US"/>
      <w14:ligatures w14:val="none"/>
    </w:rPr>
  </w:style>
  <w:style w:type="paragraph" w:styleId="BodyTextIndent">
    <w:name w:val="Body Text Indent"/>
    <w:basedOn w:val="Normal"/>
    <w:link w:val="BodyTextIndentChar"/>
    <w:uiPriority w:val="99"/>
    <w:unhideWhenUsed/>
    <w:rsid w:val="0003786E"/>
    <w:pPr>
      <w:spacing w:after="120"/>
      <w:ind w:left="360"/>
    </w:pPr>
  </w:style>
  <w:style w:type="character" w:customStyle="1" w:styleId="BodyTextIndentChar">
    <w:name w:val="Body Text Indent Char"/>
    <w:basedOn w:val="DefaultParagraphFont"/>
    <w:link w:val="BodyTextIndent"/>
    <w:uiPriority w:val="99"/>
    <w:rsid w:val="0003786E"/>
    <w:rPr>
      <w:rFonts w:ascii="Calibri" w:eastAsia="Calibri" w:hAnsi="Calibri" w:cs="Times New Roman"/>
      <w:kern w:val="0"/>
      <w:sz w:val="22"/>
      <w:szCs w:val="22"/>
      <w:lang w:val="en-US"/>
      <w14:ligatures w14:val="none"/>
    </w:rPr>
  </w:style>
  <w:style w:type="paragraph" w:styleId="Caption">
    <w:name w:val="caption"/>
    <w:basedOn w:val="Normal"/>
    <w:next w:val="Normal"/>
    <w:uiPriority w:val="35"/>
    <w:qFormat/>
    <w:rsid w:val="0003786E"/>
    <w:pPr>
      <w:spacing w:before="120" w:after="120" w:line="240" w:lineRule="auto"/>
      <w:jc w:val="both"/>
    </w:pPr>
    <w:rPr>
      <w:rFonts w:ascii="Times New Roman" w:hAnsi="Times New Roman" w:cs="Calibri"/>
      <w:bCs/>
      <w:sz w:val="20"/>
      <w:szCs w:val="20"/>
      <w:lang w:val="id-ID"/>
    </w:rPr>
  </w:style>
  <w:style w:type="character" w:styleId="Emphasis">
    <w:name w:val="Emphasis"/>
    <w:uiPriority w:val="20"/>
    <w:qFormat/>
    <w:rsid w:val="0003786E"/>
    <w:rPr>
      <w:i/>
      <w:iCs/>
    </w:rPr>
  </w:style>
  <w:style w:type="character" w:styleId="Hyperlink">
    <w:name w:val="Hyperlink"/>
    <w:uiPriority w:val="99"/>
    <w:unhideWhenUsed/>
    <w:rsid w:val="0003786E"/>
    <w:rPr>
      <w:color w:val="0563C1"/>
      <w:u w:val="single"/>
    </w:rPr>
  </w:style>
  <w:style w:type="paragraph" w:styleId="NormalWeb">
    <w:name w:val="Normal (Web)"/>
    <w:basedOn w:val="Normal"/>
    <w:uiPriority w:val="99"/>
    <w:unhideWhenUsed/>
    <w:rsid w:val="0003786E"/>
    <w:rPr>
      <w:rFonts w:ascii="Times New Roman" w:hAnsi="Times New Roman"/>
      <w:sz w:val="24"/>
      <w:szCs w:val="24"/>
    </w:rPr>
  </w:style>
  <w:style w:type="table" w:styleId="TableGrid">
    <w:name w:val="Table Grid"/>
    <w:basedOn w:val="TableNormal"/>
    <w:uiPriority w:val="39"/>
    <w:qFormat/>
    <w:rsid w:val="0003786E"/>
    <w:pPr>
      <w:spacing w:after="0" w:line="240" w:lineRule="auto"/>
    </w:pPr>
    <w:rPr>
      <w:rFonts w:ascii="Calibri" w:eastAsia="Calibri" w:hAnsi="Calibri" w:cs="Calibri"/>
      <w:kern w:val="0"/>
      <w:sz w:val="22"/>
      <w:szCs w:val="22"/>
      <w:lang w:val="en-A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Affiliation">
    <w:name w:val="AuthorAffiliation"/>
    <w:next w:val="Normal"/>
    <w:rsid w:val="0003786E"/>
    <w:pPr>
      <w:suppressAutoHyphens/>
      <w:spacing w:after="0" w:line="200" w:lineRule="exact"/>
    </w:pPr>
    <w:rPr>
      <w:rFonts w:ascii="Times New Roman" w:eastAsia="SimSun" w:hAnsi="Times New Roman" w:cs="Times New Roman"/>
      <w:kern w:val="0"/>
      <w:sz w:val="14"/>
      <w:szCs w:val="20"/>
      <w:lang w:val="en-US"/>
      <w14:ligatures w14:val="none"/>
    </w:rPr>
  </w:style>
  <w:style w:type="paragraph" w:customStyle="1" w:styleId="Author">
    <w:name w:val="Author"/>
    <w:next w:val="Normal"/>
    <w:rsid w:val="0003786E"/>
    <w:pPr>
      <w:keepNext/>
      <w:suppressAutoHyphens/>
      <w:spacing w:line="300" w:lineRule="exact"/>
    </w:pPr>
    <w:rPr>
      <w:rFonts w:ascii="Times New Roman" w:eastAsia="SimSun" w:hAnsi="Times New Roman" w:cs="Times New Roman"/>
      <w:kern w:val="0"/>
      <w:sz w:val="26"/>
      <w:szCs w:val="20"/>
      <w:lang w:val="en-US"/>
      <w14:ligatures w14:val="none"/>
    </w:rPr>
  </w:style>
  <w:style w:type="paragraph" w:customStyle="1" w:styleId="TitleIJAIN">
    <w:name w:val="Title IJAIN"/>
    <w:next w:val="Author"/>
    <w:rsid w:val="0003786E"/>
    <w:pPr>
      <w:suppressAutoHyphens/>
      <w:spacing w:before="360" w:after="240" w:line="400" w:lineRule="exact"/>
    </w:pPr>
    <w:rPr>
      <w:rFonts w:ascii="Times New Roman" w:eastAsia="SimSun" w:hAnsi="Times New Roman" w:cs="Times New Roman"/>
      <w:kern w:val="0"/>
      <w:sz w:val="34"/>
      <w:szCs w:val="20"/>
      <w:lang w:val="en-US"/>
      <w14:ligatures w14:val="none"/>
    </w:rPr>
  </w:style>
  <w:style w:type="paragraph" w:customStyle="1" w:styleId="AbstractHead">
    <w:name w:val="AbstractHead"/>
    <w:rsid w:val="0003786E"/>
    <w:pPr>
      <w:spacing w:after="0" w:line="240" w:lineRule="auto"/>
    </w:pPr>
    <w:rPr>
      <w:rFonts w:ascii="Times New Roman" w:eastAsia="Times New Roman" w:hAnsi="Times New Roman" w:cs="Times New Roman"/>
      <w:smallCaps/>
      <w:spacing w:val="24"/>
      <w:kern w:val="0"/>
      <w:sz w:val="20"/>
      <w:szCs w:val="20"/>
      <w:lang w:val="en-US"/>
      <w14:ligatures w14:val="none"/>
    </w:rPr>
  </w:style>
  <w:style w:type="paragraph" w:customStyle="1" w:styleId="AbstractText">
    <w:name w:val="AbstractText"/>
    <w:rsid w:val="0003786E"/>
    <w:pPr>
      <w:spacing w:after="80" w:line="200" w:lineRule="exact"/>
      <w:jc w:val="both"/>
    </w:pPr>
    <w:rPr>
      <w:rFonts w:ascii="Times New Roman" w:eastAsia="Times New Roman" w:hAnsi="Times New Roman" w:cs="Times New Roman"/>
      <w:kern w:val="0"/>
      <w:sz w:val="20"/>
      <w:szCs w:val="20"/>
      <w:lang w:val="en"/>
      <w14:ligatures w14:val="none"/>
    </w:rPr>
  </w:style>
  <w:style w:type="paragraph" w:customStyle="1" w:styleId="Articlehistory">
    <w:name w:val="Articlehistory"/>
    <w:rsid w:val="0003786E"/>
    <w:pPr>
      <w:spacing w:after="0" w:line="200" w:lineRule="exact"/>
    </w:pPr>
    <w:rPr>
      <w:rFonts w:ascii="Ebrima" w:eastAsia="Times New Roman" w:hAnsi="Ebrima" w:cs="Times New Roman"/>
      <w:kern w:val="0"/>
      <w:sz w:val="14"/>
      <w:szCs w:val="20"/>
      <w:lang w:val="en-US"/>
      <w14:ligatures w14:val="none"/>
    </w:rPr>
  </w:style>
  <w:style w:type="paragraph" w:customStyle="1" w:styleId="ArticleinfoHead">
    <w:name w:val="ArticleinfoHead"/>
    <w:rsid w:val="0003786E"/>
    <w:pPr>
      <w:spacing w:after="0" w:line="240" w:lineRule="auto"/>
    </w:pPr>
    <w:rPr>
      <w:rFonts w:ascii="Times New Roman" w:eastAsia="Times New Roman" w:hAnsi="Times New Roman" w:cs="Times New Roman"/>
      <w:smallCaps/>
      <w:spacing w:val="24"/>
      <w:kern w:val="0"/>
      <w:sz w:val="18"/>
      <w:szCs w:val="20"/>
      <w:lang w:val="en-US"/>
      <w14:ligatures w14:val="none"/>
    </w:rPr>
  </w:style>
  <w:style w:type="paragraph" w:customStyle="1" w:styleId="Keyword">
    <w:name w:val="Keyword"/>
    <w:rsid w:val="0003786E"/>
    <w:pPr>
      <w:spacing w:after="0" w:line="200" w:lineRule="exact"/>
    </w:pPr>
    <w:rPr>
      <w:rFonts w:ascii="Ebrima" w:eastAsia="Times New Roman" w:hAnsi="Ebrima" w:cs="Times New Roman"/>
      <w:kern w:val="0"/>
      <w:sz w:val="14"/>
      <w:szCs w:val="20"/>
      <w:lang w:val="en-US"/>
      <w14:ligatures w14:val="none"/>
    </w:rPr>
  </w:style>
  <w:style w:type="paragraph" w:customStyle="1" w:styleId="KeywordHead">
    <w:name w:val="KeywordHead"/>
    <w:next w:val="Keyword"/>
    <w:rsid w:val="0003786E"/>
    <w:pPr>
      <w:spacing w:after="0" w:line="200" w:lineRule="exact"/>
    </w:pPr>
    <w:rPr>
      <w:rFonts w:ascii="Junicode" w:eastAsia="Times New Roman" w:hAnsi="Junicode" w:cs="Times New Roman"/>
      <w:i/>
      <w:kern w:val="0"/>
      <w:sz w:val="18"/>
      <w:szCs w:val="20"/>
      <w:lang w:val="en-US"/>
      <w14:ligatures w14:val="none"/>
    </w:rPr>
  </w:style>
  <w:style w:type="paragraph" w:customStyle="1" w:styleId="bulletlist">
    <w:name w:val="bullet list"/>
    <w:basedOn w:val="BodyText"/>
    <w:rsid w:val="0003786E"/>
    <w:pPr>
      <w:numPr>
        <w:numId w:val="3"/>
      </w:numPr>
      <w:tabs>
        <w:tab w:val="clear" w:pos="648"/>
      </w:tabs>
      <w:ind w:left="576" w:hanging="288"/>
    </w:pPr>
  </w:style>
  <w:style w:type="paragraph" w:customStyle="1" w:styleId="equation">
    <w:name w:val="equation"/>
    <w:basedOn w:val="Normal"/>
    <w:uiPriority w:val="99"/>
    <w:rsid w:val="0003786E"/>
    <w:pPr>
      <w:tabs>
        <w:tab w:val="center" w:pos="5670"/>
        <w:tab w:val="right" w:pos="8789"/>
      </w:tabs>
      <w:spacing w:before="240" w:after="240" w:line="216" w:lineRule="auto"/>
      <w:ind w:firstLine="397"/>
      <w:jc w:val="center"/>
    </w:pPr>
    <w:rPr>
      <w:rFonts w:ascii="Symbol" w:eastAsia="Times New Roman" w:hAnsi="Symbol" w:cs="Symbol"/>
      <w:sz w:val="20"/>
      <w:szCs w:val="20"/>
    </w:rPr>
  </w:style>
  <w:style w:type="paragraph" w:customStyle="1" w:styleId="figurecaption">
    <w:name w:val="figure caption"/>
    <w:qFormat/>
    <w:rsid w:val="0003786E"/>
    <w:pPr>
      <w:numPr>
        <w:numId w:val="4"/>
      </w:numPr>
      <w:tabs>
        <w:tab w:val="left" w:pos="533"/>
      </w:tabs>
      <w:spacing w:before="80" w:after="200" w:line="240" w:lineRule="auto"/>
      <w:jc w:val="center"/>
    </w:pPr>
    <w:rPr>
      <w:rFonts w:ascii="Junicode" w:eastAsia="Times New Roman" w:hAnsi="Junicode" w:cs="Times New Roman"/>
      <w:kern w:val="0"/>
      <w:sz w:val="20"/>
      <w:szCs w:val="16"/>
      <w:lang w:val="en-US"/>
      <w14:ligatures w14:val="none"/>
    </w:rPr>
  </w:style>
  <w:style w:type="paragraph" w:customStyle="1" w:styleId="references">
    <w:name w:val="references"/>
    <w:uiPriority w:val="99"/>
    <w:rsid w:val="0003786E"/>
    <w:pPr>
      <w:numPr>
        <w:numId w:val="5"/>
      </w:numPr>
      <w:spacing w:after="120" w:line="240" w:lineRule="exact"/>
      <w:ind w:left="357" w:hanging="357"/>
      <w:jc w:val="both"/>
    </w:pPr>
    <w:rPr>
      <w:rFonts w:ascii="Times New Roman" w:eastAsia="Times New Roman" w:hAnsi="Times New Roman" w:cs="Times New Roman"/>
      <w:kern w:val="0"/>
      <w:sz w:val="20"/>
      <w:szCs w:val="16"/>
      <w:lang w:val="en-US"/>
      <w14:ligatures w14:val="none"/>
    </w:rPr>
  </w:style>
  <w:style w:type="paragraph" w:customStyle="1" w:styleId="sponsors">
    <w:name w:val="sponsors"/>
    <w:rsid w:val="0003786E"/>
    <w:pPr>
      <w:framePr w:wrap="auto" w:hAnchor="text" w:x="615" w:y="2239"/>
      <w:pBdr>
        <w:top w:val="single" w:sz="4" w:space="2" w:color="auto"/>
      </w:pBdr>
      <w:spacing w:after="0" w:line="240" w:lineRule="auto"/>
      <w:ind w:firstLine="288"/>
    </w:pPr>
    <w:rPr>
      <w:rFonts w:ascii="Times New Roman" w:eastAsia="Times New Roman" w:hAnsi="Times New Roman" w:cs="Times New Roman"/>
      <w:kern w:val="0"/>
      <w:sz w:val="16"/>
      <w:szCs w:val="16"/>
      <w:lang w:val="en-US"/>
      <w14:ligatures w14:val="none"/>
    </w:rPr>
  </w:style>
  <w:style w:type="paragraph" w:customStyle="1" w:styleId="tablecolhead">
    <w:name w:val="table col head"/>
    <w:basedOn w:val="Normal"/>
    <w:uiPriority w:val="99"/>
    <w:rsid w:val="0003786E"/>
    <w:pPr>
      <w:spacing w:after="0" w:line="240" w:lineRule="auto"/>
      <w:jc w:val="center"/>
    </w:pPr>
    <w:rPr>
      <w:rFonts w:ascii="Junicode" w:eastAsia="Times New Roman" w:hAnsi="Junicode"/>
      <w:b/>
      <w:bCs/>
      <w:sz w:val="20"/>
      <w:szCs w:val="16"/>
    </w:rPr>
  </w:style>
  <w:style w:type="paragraph" w:customStyle="1" w:styleId="tablecolsubhead">
    <w:name w:val="table col subhead"/>
    <w:basedOn w:val="tablecolhead"/>
    <w:uiPriority w:val="99"/>
    <w:rsid w:val="0003786E"/>
    <w:rPr>
      <w:i/>
      <w:iCs/>
      <w:sz w:val="19"/>
      <w:szCs w:val="15"/>
    </w:rPr>
  </w:style>
  <w:style w:type="paragraph" w:customStyle="1" w:styleId="tablecopy">
    <w:name w:val="table copy"/>
    <w:uiPriority w:val="99"/>
    <w:rsid w:val="0003786E"/>
    <w:pPr>
      <w:spacing w:after="0" w:line="240" w:lineRule="auto"/>
      <w:jc w:val="center"/>
    </w:pPr>
    <w:rPr>
      <w:rFonts w:ascii="Junicode" w:eastAsia="Times New Roman" w:hAnsi="Junicode" w:cs="Times New Roman"/>
      <w:kern w:val="0"/>
      <w:sz w:val="18"/>
      <w:szCs w:val="16"/>
      <w:lang w:val="en-US"/>
      <w14:ligatures w14:val="none"/>
    </w:rPr>
  </w:style>
  <w:style w:type="paragraph" w:customStyle="1" w:styleId="tablefootnote">
    <w:name w:val="table footnote"/>
    <w:uiPriority w:val="99"/>
    <w:rsid w:val="0003786E"/>
    <w:pPr>
      <w:numPr>
        <w:numId w:val="6"/>
      </w:numPr>
      <w:tabs>
        <w:tab w:val="left" w:pos="29"/>
      </w:tabs>
      <w:spacing w:before="60" w:after="30" w:line="240" w:lineRule="auto"/>
      <w:ind w:left="360"/>
      <w:jc w:val="right"/>
    </w:pPr>
    <w:rPr>
      <w:rFonts w:ascii="Junicode" w:eastAsia="MS Mincho" w:hAnsi="Junicode" w:cs="Times New Roman"/>
      <w:kern w:val="0"/>
      <w:sz w:val="16"/>
      <w:szCs w:val="12"/>
      <w:lang w:val="en-US"/>
      <w14:ligatures w14:val="none"/>
    </w:rPr>
  </w:style>
  <w:style w:type="paragraph" w:customStyle="1" w:styleId="tablehead">
    <w:name w:val="table head"/>
    <w:qFormat/>
    <w:rsid w:val="0003786E"/>
    <w:pPr>
      <w:numPr>
        <w:numId w:val="7"/>
      </w:numPr>
      <w:spacing w:before="240" w:after="120" w:line="240" w:lineRule="auto"/>
      <w:jc w:val="center"/>
    </w:pPr>
    <w:rPr>
      <w:rFonts w:ascii="Junicode" w:eastAsia="Times New Roman" w:hAnsi="Junicode" w:cs="Times New Roman"/>
      <w:kern w:val="0"/>
      <w:sz w:val="20"/>
      <w:szCs w:val="16"/>
      <w:lang w:val="en-US"/>
      <w14:ligatures w14:val="none"/>
    </w:rPr>
  </w:style>
  <w:style w:type="paragraph" w:customStyle="1" w:styleId="figure">
    <w:name w:val="figure"/>
    <w:basedOn w:val="tablefootnote"/>
    <w:qFormat/>
    <w:rsid w:val="0003786E"/>
    <w:pPr>
      <w:numPr>
        <w:numId w:val="0"/>
      </w:numPr>
      <w:ind w:left="360" w:hanging="360"/>
      <w:jc w:val="center"/>
    </w:pPr>
  </w:style>
  <w:style w:type="paragraph" w:customStyle="1" w:styleId="Paragraph">
    <w:name w:val="Paragraph"/>
    <w:rsid w:val="0003786E"/>
    <w:pPr>
      <w:spacing w:after="120" w:line="220" w:lineRule="exact"/>
      <w:ind w:firstLine="289"/>
      <w:jc w:val="both"/>
    </w:pPr>
    <w:rPr>
      <w:rFonts w:ascii="Times New Roman" w:eastAsia="Times New Roman" w:hAnsi="Times New Roman" w:cs="Times New Roman"/>
      <w:kern w:val="0"/>
      <w:sz w:val="20"/>
      <w:szCs w:val="20"/>
      <w:lang w:val="en-US"/>
      <w14:ligatures w14:val="none"/>
    </w:rPr>
  </w:style>
  <w:style w:type="paragraph" w:customStyle="1" w:styleId="Headernum">
    <w:name w:val="Headernum"/>
    <w:basedOn w:val="Header"/>
    <w:qFormat/>
    <w:rsid w:val="0003786E"/>
    <w:pPr>
      <w:tabs>
        <w:tab w:val="clear" w:pos="4513"/>
        <w:tab w:val="clear" w:pos="9026"/>
        <w:tab w:val="center" w:pos="4111"/>
        <w:tab w:val="right" w:pos="8788"/>
      </w:tabs>
    </w:pPr>
    <w:rPr>
      <w:rFonts w:ascii="Times New Roman" w:hAnsi="Times New Roman"/>
      <w:sz w:val="16"/>
      <w:szCs w:val="16"/>
    </w:rPr>
  </w:style>
  <w:style w:type="paragraph" w:customStyle="1" w:styleId="copyright">
    <w:name w:val="copyright"/>
    <w:basedOn w:val="AbstractText"/>
    <w:qFormat/>
    <w:rsid w:val="0003786E"/>
    <w:pPr>
      <w:framePr w:hSpace="187" w:wrap="around" w:vAnchor="text" w:hAnchor="text" w:y="1"/>
      <w:spacing w:after="0"/>
      <w:suppressOverlap/>
      <w:jc w:val="right"/>
    </w:pPr>
    <w:rPr>
      <w:sz w:val="16"/>
      <w:szCs w:val="14"/>
    </w:rPr>
  </w:style>
  <w:style w:type="paragraph" w:customStyle="1" w:styleId="Copyright0">
    <w:name w:val="Copyright"/>
    <w:basedOn w:val="AbstractText"/>
    <w:qFormat/>
    <w:rsid w:val="0003786E"/>
    <w:pPr>
      <w:framePr w:hSpace="187" w:wrap="around" w:vAnchor="text" w:hAnchor="text" w:y="1"/>
      <w:spacing w:after="0"/>
      <w:suppressOverlap/>
      <w:jc w:val="right"/>
    </w:pPr>
    <w:rPr>
      <w:sz w:val="17"/>
      <w:szCs w:val="14"/>
    </w:rPr>
  </w:style>
  <w:style w:type="paragraph" w:customStyle="1" w:styleId="ArticlehistoryHead">
    <w:name w:val="ArticlehistoryHead"/>
    <w:basedOn w:val="Articlehistory"/>
    <w:qFormat/>
    <w:rsid w:val="0003786E"/>
    <w:pPr>
      <w:framePr w:hSpace="187" w:wrap="around" w:vAnchor="text" w:hAnchor="text" w:y="1"/>
      <w:suppressOverlap/>
    </w:pPr>
    <w:rPr>
      <w:b/>
    </w:rPr>
  </w:style>
  <w:style w:type="paragraph" w:styleId="Bibliography">
    <w:name w:val="Bibliography"/>
    <w:basedOn w:val="Normal"/>
    <w:next w:val="Normal"/>
    <w:uiPriority w:val="37"/>
    <w:unhideWhenUsed/>
    <w:rsid w:val="0003786E"/>
  </w:style>
  <w:style w:type="character" w:customStyle="1" w:styleId="tlid-translation">
    <w:name w:val="tlid-translation"/>
    <w:rsid w:val="0003786E"/>
  </w:style>
  <w:style w:type="paragraph" w:customStyle="1" w:styleId="DaftarReferensi">
    <w:name w:val="Daftar Referensi"/>
    <w:basedOn w:val="Normal"/>
    <w:rsid w:val="0003786E"/>
    <w:pPr>
      <w:numPr>
        <w:numId w:val="8"/>
      </w:numPr>
      <w:autoSpaceDE w:val="0"/>
      <w:autoSpaceDN w:val="0"/>
      <w:adjustRightInd w:val="0"/>
      <w:spacing w:after="0" w:line="240" w:lineRule="auto"/>
      <w:jc w:val="both"/>
    </w:pPr>
    <w:rPr>
      <w:rFonts w:ascii="Times New Roman" w:hAnsi="Times New Roman" w:cs="Calibri"/>
      <w:sz w:val="20"/>
      <w:szCs w:val="24"/>
      <w:lang w:val="en"/>
    </w:rPr>
  </w:style>
  <w:style w:type="paragraph" w:customStyle="1" w:styleId="Body">
    <w:name w:val="Body"/>
    <w:basedOn w:val="BodyTextIndent"/>
    <w:qFormat/>
    <w:rsid w:val="0003786E"/>
    <w:pPr>
      <w:suppressAutoHyphens/>
      <w:spacing w:after="0" w:line="240" w:lineRule="auto"/>
      <w:ind w:left="0" w:firstLine="567"/>
      <w:jc w:val="both"/>
    </w:pPr>
    <w:rPr>
      <w:rFonts w:ascii="Times New Roman" w:eastAsia="Times New Roman" w:hAnsi="Times New Roman"/>
      <w:sz w:val="20"/>
      <w:szCs w:val="20"/>
      <w:lang w:eastAsia="ar-SA"/>
    </w:rPr>
  </w:style>
  <w:style w:type="paragraph" w:customStyle="1" w:styleId="IEEEHeading2">
    <w:name w:val="IEEE Heading 2"/>
    <w:basedOn w:val="Normal"/>
    <w:next w:val="Normal"/>
    <w:rsid w:val="0003786E"/>
    <w:pPr>
      <w:numPr>
        <w:numId w:val="9"/>
      </w:numPr>
      <w:adjustRightInd w:val="0"/>
      <w:snapToGrid w:val="0"/>
      <w:spacing w:before="150" w:after="60" w:line="240" w:lineRule="auto"/>
      <w:ind w:left="289" w:hanging="289"/>
    </w:pPr>
    <w:rPr>
      <w:rFonts w:ascii="Times New Roman" w:eastAsia="SimSun" w:hAnsi="Times New Roman"/>
      <w:i/>
      <w:sz w:val="20"/>
      <w:szCs w:val="24"/>
      <w:lang w:val="en-AU" w:eastAsia="zh-CN"/>
    </w:rPr>
  </w:style>
  <w:style w:type="character" w:styleId="UnresolvedMention">
    <w:name w:val="Unresolved Mention"/>
    <w:uiPriority w:val="99"/>
    <w:unhideWhenUsed/>
    <w:rsid w:val="0003786E"/>
    <w:rPr>
      <w:color w:val="605E5C"/>
      <w:shd w:val="clear" w:color="auto" w:fill="E1DFDD"/>
    </w:rPr>
  </w:style>
  <w:style w:type="character" w:styleId="Strong">
    <w:name w:val="Strong"/>
    <w:uiPriority w:val="22"/>
    <w:qFormat/>
    <w:rsid w:val="0003786E"/>
    <w:rPr>
      <w:b/>
      <w:bCs/>
    </w:rPr>
  </w:style>
  <w:style w:type="character" w:styleId="CommentReference">
    <w:name w:val="annotation reference"/>
    <w:uiPriority w:val="99"/>
    <w:semiHidden/>
    <w:unhideWhenUsed/>
    <w:rsid w:val="0003786E"/>
    <w:rPr>
      <w:sz w:val="16"/>
      <w:szCs w:val="16"/>
    </w:rPr>
  </w:style>
  <w:style w:type="paragraph" w:styleId="CommentText">
    <w:name w:val="annotation text"/>
    <w:basedOn w:val="Normal"/>
    <w:link w:val="CommentTextChar"/>
    <w:uiPriority w:val="99"/>
    <w:unhideWhenUsed/>
    <w:rsid w:val="0003786E"/>
    <w:rPr>
      <w:sz w:val="20"/>
      <w:szCs w:val="20"/>
    </w:rPr>
  </w:style>
  <w:style w:type="character" w:customStyle="1" w:styleId="CommentTextChar">
    <w:name w:val="Comment Text Char"/>
    <w:basedOn w:val="DefaultParagraphFont"/>
    <w:link w:val="CommentText"/>
    <w:uiPriority w:val="99"/>
    <w:rsid w:val="0003786E"/>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3786E"/>
    <w:rPr>
      <w:b/>
      <w:bCs/>
    </w:rPr>
  </w:style>
  <w:style w:type="character" w:customStyle="1" w:styleId="CommentSubjectChar">
    <w:name w:val="Comment Subject Char"/>
    <w:basedOn w:val="CommentTextChar"/>
    <w:link w:val="CommentSubject"/>
    <w:uiPriority w:val="99"/>
    <w:semiHidden/>
    <w:rsid w:val="0003786E"/>
    <w:rPr>
      <w:rFonts w:ascii="Calibri" w:eastAsia="Calibri" w:hAnsi="Calibri" w:cs="Times New Roman"/>
      <w:b/>
      <w:bCs/>
      <w:kern w:val="0"/>
      <w:sz w:val="20"/>
      <w:szCs w:val="20"/>
      <w:lang w:val="en-US"/>
      <w14:ligatures w14:val="none"/>
    </w:rPr>
  </w:style>
  <w:style w:type="character" w:styleId="PlaceholderText">
    <w:name w:val="Placeholder Text"/>
    <w:basedOn w:val="DefaultParagraphFont"/>
    <w:uiPriority w:val="99"/>
    <w:semiHidden/>
    <w:rsid w:val="00EB724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6539">
      <w:marLeft w:val="640"/>
      <w:marRight w:val="0"/>
      <w:marTop w:val="0"/>
      <w:marBottom w:val="0"/>
      <w:divBdr>
        <w:top w:val="none" w:sz="0" w:space="0" w:color="auto"/>
        <w:left w:val="none" w:sz="0" w:space="0" w:color="auto"/>
        <w:bottom w:val="none" w:sz="0" w:space="0" w:color="auto"/>
        <w:right w:val="none" w:sz="0" w:space="0" w:color="auto"/>
      </w:divBdr>
    </w:div>
    <w:div w:id="53090193">
      <w:marLeft w:val="640"/>
      <w:marRight w:val="0"/>
      <w:marTop w:val="0"/>
      <w:marBottom w:val="0"/>
      <w:divBdr>
        <w:top w:val="none" w:sz="0" w:space="0" w:color="auto"/>
        <w:left w:val="none" w:sz="0" w:space="0" w:color="auto"/>
        <w:bottom w:val="none" w:sz="0" w:space="0" w:color="auto"/>
        <w:right w:val="none" w:sz="0" w:space="0" w:color="auto"/>
      </w:divBdr>
    </w:div>
    <w:div w:id="98568484">
      <w:marLeft w:val="640"/>
      <w:marRight w:val="0"/>
      <w:marTop w:val="0"/>
      <w:marBottom w:val="0"/>
      <w:divBdr>
        <w:top w:val="none" w:sz="0" w:space="0" w:color="auto"/>
        <w:left w:val="none" w:sz="0" w:space="0" w:color="auto"/>
        <w:bottom w:val="none" w:sz="0" w:space="0" w:color="auto"/>
        <w:right w:val="none" w:sz="0" w:space="0" w:color="auto"/>
      </w:divBdr>
    </w:div>
    <w:div w:id="102117025">
      <w:marLeft w:val="640"/>
      <w:marRight w:val="0"/>
      <w:marTop w:val="0"/>
      <w:marBottom w:val="0"/>
      <w:divBdr>
        <w:top w:val="none" w:sz="0" w:space="0" w:color="auto"/>
        <w:left w:val="none" w:sz="0" w:space="0" w:color="auto"/>
        <w:bottom w:val="none" w:sz="0" w:space="0" w:color="auto"/>
        <w:right w:val="none" w:sz="0" w:space="0" w:color="auto"/>
      </w:divBdr>
    </w:div>
    <w:div w:id="182326574">
      <w:marLeft w:val="640"/>
      <w:marRight w:val="0"/>
      <w:marTop w:val="0"/>
      <w:marBottom w:val="0"/>
      <w:divBdr>
        <w:top w:val="none" w:sz="0" w:space="0" w:color="auto"/>
        <w:left w:val="none" w:sz="0" w:space="0" w:color="auto"/>
        <w:bottom w:val="none" w:sz="0" w:space="0" w:color="auto"/>
        <w:right w:val="none" w:sz="0" w:space="0" w:color="auto"/>
      </w:divBdr>
    </w:div>
    <w:div w:id="208303797">
      <w:marLeft w:val="640"/>
      <w:marRight w:val="0"/>
      <w:marTop w:val="0"/>
      <w:marBottom w:val="0"/>
      <w:divBdr>
        <w:top w:val="none" w:sz="0" w:space="0" w:color="auto"/>
        <w:left w:val="none" w:sz="0" w:space="0" w:color="auto"/>
        <w:bottom w:val="none" w:sz="0" w:space="0" w:color="auto"/>
        <w:right w:val="none" w:sz="0" w:space="0" w:color="auto"/>
      </w:divBdr>
    </w:div>
    <w:div w:id="263001540">
      <w:marLeft w:val="640"/>
      <w:marRight w:val="0"/>
      <w:marTop w:val="0"/>
      <w:marBottom w:val="0"/>
      <w:divBdr>
        <w:top w:val="none" w:sz="0" w:space="0" w:color="auto"/>
        <w:left w:val="none" w:sz="0" w:space="0" w:color="auto"/>
        <w:bottom w:val="none" w:sz="0" w:space="0" w:color="auto"/>
        <w:right w:val="none" w:sz="0" w:space="0" w:color="auto"/>
      </w:divBdr>
    </w:div>
    <w:div w:id="277764880">
      <w:marLeft w:val="640"/>
      <w:marRight w:val="0"/>
      <w:marTop w:val="0"/>
      <w:marBottom w:val="0"/>
      <w:divBdr>
        <w:top w:val="none" w:sz="0" w:space="0" w:color="auto"/>
        <w:left w:val="none" w:sz="0" w:space="0" w:color="auto"/>
        <w:bottom w:val="none" w:sz="0" w:space="0" w:color="auto"/>
        <w:right w:val="none" w:sz="0" w:space="0" w:color="auto"/>
      </w:divBdr>
    </w:div>
    <w:div w:id="283922684">
      <w:marLeft w:val="640"/>
      <w:marRight w:val="0"/>
      <w:marTop w:val="0"/>
      <w:marBottom w:val="0"/>
      <w:divBdr>
        <w:top w:val="none" w:sz="0" w:space="0" w:color="auto"/>
        <w:left w:val="none" w:sz="0" w:space="0" w:color="auto"/>
        <w:bottom w:val="none" w:sz="0" w:space="0" w:color="auto"/>
        <w:right w:val="none" w:sz="0" w:space="0" w:color="auto"/>
      </w:divBdr>
    </w:div>
    <w:div w:id="288361968">
      <w:marLeft w:val="640"/>
      <w:marRight w:val="0"/>
      <w:marTop w:val="0"/>
      <w:marBottom w:val="0"/>
      <w:divBdr>
        <w:top w:val="none" w:sz="0" w:space="0" w:color="auto"/>
        <w:left w:val="none" w:sz="0" w:space="0" w:color="auto"/>
        <w:bottom w:val="none" w:sz="0" w:space="0" w:color="auto"/>
        <w:right w:val="none" w:sz="0" w:space="0" w:color="auto"/>
      </w:divBdr>
    </w:div>
    <w:div w:id="300232959">
      <w:marLeft w:val="640"/>
      <w:marRight w:val="0"/>
      <w:marTop w:val="0"/>
      <w:marBottom w:val="0"/>
      <w:divBdr>
        <w:top w:val="none" w:sz="0" w:space="0" w:color="auto"/>
        <w:left w:val="none" w:sz="0" w:space="0" w:color="auto"/>
        <w:bottom w:val="none" w:sz="0" w:space="0" w:color="auto"/>
        <w:right w:val="none" w:sz="0" w:space="0" w:color="auto"/>
      </w:divBdr>
    </w:div>
    <w:div w:id="302464190">
      <w:marLeft w:val="640"/>
      <w:marRight w:val="0"/>
      <w:marTop w:val="0"/>
      <w:marBottom w:val="0"/>
      <w:divBdr>
        <w:top w:val="none" w:sz="0" w:space="0" w:color="auto"/>
        <w:left w:val="none" w:sz="0" w:space="0" w:color="auto"/>
        <w:bottom w:val="none" w:sz="0" w:space="0" w:color="auto"/>
        <w:right w:val="none" w:sz="0" w:space="0" w:color="auto"/>
      </w:divBdr>
    </w:div>
    <w:div w:id="321159138">
      <w:marLeft w:val="640"/>
      <w:marRight w:val="0"/>
      <w:marTop w:val="0"/>
      <w:marBottom w:val="0"/>
      <w:divBdr>
        <w:top w:val="none" w:sz="0" w:space="0" w:color="auto"/>
        <w:left w:val="none" w:sz="0" w:space="0" w:color="auto"/>
        <w:bottom w:val="none" w:sz="0" w:space="0" w:color="auto"/>
        <w:right w:val="none" w:sz="0" w:space="0" w:color="auto"/>
      </w:divBdr>
    </w:div>
    <w:div w:id="331219800">
      <w:marLeft w:val="640"/>
      <w:marRight w:val="0"/>
      <w:marTop w:val="0"/>
      <w:marBottom w:val="0"/>
      <w:divBdr>
        <w:top w:val="none" w:sz="0" w:space="0" w:color="auto"/>
        <w:left w:val="none" w:sz="0" w:space="0" w:color="auto"/>
        <w:bottom w:val="none" w:sz="0" w:space="0" w:color="auto"/>
        <w:right w:val="none" w:sz="0" w:space="0" w:color="auto"/>
      </w:divBdr>
    </w:div>
    <w:div w:id="439031594">
      <w:marLeft w:val="640"/>
      <w:marRight w:val="0"/>
      <w:marTop w:val="0"/>
      <w:marBottom w:val="0"/>
      <w:divBdr>
        <w:top w:val="none" w:sz="0" w:space="0" w:color="auto"/>
        <w:left w:val="none" w:sz="0" w:space="0" w:color="auto"/>
        <w:bottom w:val="none" w:sz="0" w:space="0" w:color="auto"/>
        <w:right w:val="none" w:sz="0" w:space="0" w:color="auto"/>
      </w:divBdr>
    </w:div>
    <w:div w:id="456489452">
      <w:marLeft w:val="640"/>
      <w:marRight w:val="0"/>
      <w:marTop w:val="0"/>
      <w:marBottom w:val="0"/>
      <w:divBdr>
        <w:top w:val="none" w:sz="0" w:space="0" w:color="auto"/>
        <w:left w:val="none" w:sz="0" w:space="0" w:color="auto"/>
        <w:bottom w:val="none" w:sz="0" w:space="0" w:color="auto"/>
        <w:right w:val="none" w:sz="0" w:space="0" w:color="auto"/>
      </w:divBdr>
    </w:div>
    <w:div w:id="493299987">
      <w:marLeft w:val="640"/>
      <w:marRight w:val="0"/>
      <w:marTop w:val="0"/>
      <w:marBottom w:val="0"/>
      <w:divBdr>
        <w:top w:val="none" w:sz="0" w:space="0" w:color="auto"/>
        <w:left w:val="none" w:sz="0" w:space="0" w:color="auto"/>
        <w:bottom w:val="none" w:sz="0" w:space="0" w:color="auto"/>
        <w:right w:val="none" w:sz="0" w:space="0" w:color="auto"/>
      </w:divBdr>
    </w:div>
    <w:div w:id="498079432">
      <w:marLeft w:val="640"/>
      <w:marRight w:val="0"/>
      <w:marTop w:val="0"/>
      <w:marBottom w:val="0"/>
      <w:divBdr>
        <w:top w:val="none" w:sz="0" w:space="0" w:color="auto"/>
        <w:left w:val="none" w:sz="0" w:space="0" w:color="auto"/>
        <w:bottom w:val="none" w:sz="0" w:space="0" w:color="auto"/>
        <w:right w:val="none" w:sz="0" w:space="0" w:color="auto"/>
      </w:divBdr>
    </w:div>
    <w:div w:id="504442492">
      <w:marLeft w:val="640"/>
      <w:marRight w:val="0"/>
      <w:marTop w:val="0"/>
      <w:marBottom w:val="0"/>
      <w:divBdr>
        <w:top w:val="none" w:sz="0" w:space="0" w:color="auto"/>
        <w:left w:val="none" w:sz="0" w:space="0" w:color="auto"/>
        <w:bottom w:val="none" w:sz="0" w:space="0" w:color="auto"/>
        <w:right w:val="none" w:sz="0" w:space="0" w:color="auto"/>
      </w:divBdr>
    </w:div>
    <w:div w:id="526336809">
      <w:marLeft w:val="640"/>
      <w:marRight w:val="0"/>
      <w:marTop w:val="0"/>
      <w:marBottom w:val="0"/>
      <w:divBdr>
        <w:top w:val="none" w:sz="0" w:space="0" w:color="auto"/>
        <w:left w:val="none" w:sz="0" w:space="0" w:color="auto"/>
        <w:bottom w:val="none" w:sz="0" w:space="0" w:color="auto"/>
        <w:right w:val="none" w:sz="0" w:space="0" w:color="auto"/>
      </w:divBdr>
    </w:div>
    <w:div w:id="561603188">
      <w:marLeft w:val="640"/>
      <w:marRight w:val="0"/>
      <w:marTop w:val="0"/>
      <w:marBottom w:val="0"/>
      <w:divBdr>
        <w:top w:val="none" w:sz="0" w:space="0" w:color="auto"/>
        <w:left w:val="none" w:sz="0" w:space="0" w:color="auto"/>
        <w:bottom w:val="none" w:sz="0" w:space="0" w:color="auto"/>
        <w:right w:val="none" w:sz="0" w:space="0" w:color="auto"/>
      </w:divBdr>
    </w:div>
    <w:div w:id="571697970">
      <w:marLeft w:val="640"/>
      <w:marRight w:val="0"/>
      <w:marTop w:val="0"/>
      <w:marBottom w:val="0"/>
      <w:divBdr>
        <w:top w:val="none" w:sz="0" w:space="0" w:color="auto"/>
        <w:left w:val="none" w:sz="0" w:space="0" w:color="auto"/>
        <w:bottom w:val="none" w:sz="0" w:space="0" w:color="auto"/>
        <w:right w:val="none" w:sz="0" w:space="0" w:color="auto"/>
      </w:divBdr>
    </w:div>
    <w:div w:id="576521720">
      <w:marLeft w:val="640"/>
      <w:marRight w:val="0"/>
      <w:marTop w:val="0"/>
      <w:marBottom w:val="0"/>
      <w:divBdr>
        <w:top w:val="none" w:sz="0" w:space="0" w:color="auto"/>
        <w:left w:val="none" w:sz="0" w:space="0" w:color="auto"/>
        <w:bottom w:val="none" w:sz="0" w:space="0" w:color="auto"/>
        <w:right w:val="none" w:sz="0" w:space="0" w:color="auto"/>
      </w:divBdr>
    </w:div>
    <w:div w:id="596640634">
      <w:marLeft w:val="640"/>
      <w:marRight w:val="0"/>
      <w:marTop w:val="0"/>
      <w:marBottom w:val="0"/>
      <w:divBdr>
        <w:top w:val="none" w:sz="0" w:space="0" w:color="auto"/>
        <w:left w:val="none" w:sz="0" w:space="0" w:color="auto"/>
        <w:bottom w:val="none" w:sz="0" w:space="0" w:color="auto"/>
        <w:right w:val="none" w:sz="0" w:space="0" w:color="auto"/>
      </w:divBdr>
    </w:div>
    <w:div w:id="636029210">
      <w:marLeft w:val="640"/>
      <w:marRight w:val="0"/>
      <w:marTop w:val="0"/>
      <w:marBottom w:val="0"/>
      <w:divBdr>
        <w:top w:val="none" w:sz="0" w:space="0" w:color="auto"/>
        <w:left w:val="none" w:sz="0" w:space="0" w:color="auto"/>
        <w:bottom w:val="none" w:sz="0" w:space="0" w:color="auto"/>
        <w:right w:val="none" w:sz="0" w:space="0" w:color="auto"/>
      </w:divBdr>
    </w:div>
    <w:div w:id="651177079">
      <w:marLeft w:val="640"/>
      <w:marRight w:val="0"/>
      <w:marTop w:val="0"/>
      <w:marBottom w:val="0"/>
      <w:divBdr>
        <w:top w:val="none" w:sz="0" w:space="0" w:color="auto"/>
        <w:left w:val="none" w:sz="0" w:space="0" w:color="auto"/>
        <w:bottom w:val="none" w:sz="0" w:space="0" w:color="auto"/>
        <w:right w:val="none" w:sz="0" w:space="0" w:color="auto"/>
      </w:divBdr>
    </w:div>
    <w:div w:id="654187903">
      <w:marLeft w:val="640"/>
      <w:marRight w:val="0"/>
      <w:marTop w:val="0"/>
      <w:marBottom w:val="0"/>
      <w:divBdr>
        <w:top w:val="none" w:sz="0" w:space="0" w:color="auto"/>
        <w:left w:val="none" w:sz="0" w:space="0" w:color="auto"/>
        <w:bottom w:val="none" w:sz="0" w:space="0" w:color="auto"/>
        <w:right w:val="none" w:sz="0" w:space="0" w:color="auto"/>
      </w:divBdr>
    </w:div>
    <w:div w:id="655378102">
      <w:marLeft w:val="640"/>
      <w:marRight w:val="0"/>
      <w:marTop w:val="0"/>
      <w:marBottom w:val="0"/>
      <w:divBdr>
        <w:top w:val="none" w:sz="0" w:space="0" w:color="auto"/>
        <w:left w:val="none" w:sz="0" w:space="0" w:color="auto"/>
        <w:bottom w:val="none" w:sz="0" w:space="0" w:color="auto"/>
        <w:right w:val="none" w:sz="0" w:space="0" w:color="auto"/>
      </w:divBdr>
    </w:div>
    <w:div w:id="662466268">
      <w:marLeft w:val="640"/>
      <w:marRight w:val="0"/>
      <w:marTop w:val="0"/>
      <w:marBottom w:val="0"/>
      <w:divBdr>
        <w:top w:val="none" w:sz="0" w:space="0" w:color="auto"/>
        <w:left w:val="none" w:sz="0" w:space="0" w:color="auto"/>
        <w:bottom w:val="none" w:sz="0" w:space="0" w:color="auto"/>
        <w:right w:val="none" w:sz="0" w:space="0" w:color="auto"/>
      </w:divBdr>
    </w:div>
    <w:div w:id="701782384">
      <w:marLeft w:val="640"/>
      <w:marRight w:val="0"/>
      <w:marTop w:val="0"/>
      <w:marBottom w:val="0"/>
      <w:divBdr>
        <w:top w:val="none" w:sz="0" w:space="0" w:color="auto"/>
        <w:left w:val="none" w:sz="0" w:space="0" w:color="auto"/>
        <w:bottom w:val="none" w:sz="0" w:space="0" w:color="auto"/>
        <w:right w:val="none" w:sz="0" w:space="0" w:color="auto"/>
      </w:divBdr>
    </w:div>
    <w:div w:id="705060859">
      <w:marLeft w:val="640"/>
      <w:marRight w:val="0"/>
      <w:marTop w:val="0"/>
      <w:marBottom w:val="0"/>
      <w:divBdr>
        <w:top w:val="none" w:sz="0" w:space="0" w:color="auto"/>
        <w:left w:val="none" w:sz="0" w:space="0" w:color="auto"/>
        <w:bottom w:val="none" w:sz="0" w:space="0" w:color="auto"/>
        <w:right w:val="none" w:sz="0" w:space="0" w:color="auto"/>
      </w:divBdr>
    </w:div>
    <w:div w:id="708840401">
      <w:marLeft w:val="640"/>
      <w:marRight w:val="0"/>
      <w:marTop w:val="0"/>
      <w:marBottom w:val="0"/>
      <w:divBdr>
        <w:top w:val="none" w:sz="0" w:space="0" w:color="auto"/>
        <w:left w:val="none" w:sz="0" w:space="0" w:color="auto"/>
        <w:bottom w:val="none" w:sz="0" w:space="0" w:color="auto"/>
        <w:right w:val="none" w:sz="0" w:space="0" w:color="auto"/>
      </w:divBdr>
    </w:div>
    <w:div w:id="750198808">
      <w:marLeft w:val="640"/>
      <w:marRight w:val="0"/>
      <w:marTop w:val="0"/>
      <w:marBottom w:val="0"/>
      <w:divBdr>
        <w:top w:val="none" w:sz="0" w:space="0" w:color="auto"/>
        <w:left w:val="none" w:sz="0" w:space="0" w:color="auto"/>
        <w:bottom w:val="none" w:sz="0" w:space="0" w:color="auto"/>
        <w:right w:val="none" w:sz="0" w:space="0" w:color="auto"/>
      </w:divBdr>
    </w:div>
    <w:div w:id="770125859">
      <w:marLeft w:val="640"/>
      <w:marRight w:val="0"/>
      <w:marTop w:val="0"/>
      <w:marBottom w:val="0"/>
      <w:divBdr>
        <w:top w:val="none" w:sz="0" w:space="0" w:color="auto"/>
        <w:left w:val="none" w:sz="0" w:space="0" w:color="auto"/>
        <w:bottom w:val="none" w:sz="0" w:space="0" w:color="auto"/>
        <w:right w:val="none" w:sz="0" w:space="0" w:color="auto"/>
      </w:divBdr>
    </w:div>
    <w:div w:id="790829151">
      <w:marLeft w:val="640"/>
      <w:marRight w:val="0"/>
      <w:marTop w:val="0"/>
      <w:marBottom w:val="0"/>
      <w:divBdr>
        <w:top w:val="none" w:sz="0" w:space="0" w:color="auto"/>
        <w:left w:val="none" w:sz="0" w:space="0" w:color="auto"/>
        <w:bottom w:val="none" w:sz="0" w:space="0" w:color="auto"/>
        <w:right w:val="none" w:sz="0" w:space="0" w:color="auto"/>
      </w:divBdr>
    </w:div>
    <w:div w:id="793211160">
      <w:marLeft w:val="640"/>
      <w:marRight w:val="0"/>
      <w:marTop w:val="0"/>
      <w:marBottom w:val="0"/>
      <w:divBdr>
        <w:top w:val="none" w:sz="0" w:space="0" w:color="auto"/>
        <w:left w:val="none" w:sz="0" w:space="0" w:color="auto"/>
        <w:bottom w:val="none" w:sz="0" w:space="0" w:color="auto"/>
        <w:right w:val="none" w:sz="0" w:space="0" w:color="auto"/>
      </w:divBdr>
    </w:div>
    <w:div w:id="940261313">
      <w:marLeft w:val="640"/>
      <w:marRight w:val="0"/>
      <w:marTop w:val="0"/>
      <w:marBottom w:val="0"/>
      <w:divBdr>
        <w:top w:val="none" w:sz="0" w:space="0" w:color="auto"/>
        <w:left w:val="none" w:sz="0" w:space="0" w:color="auto"/>
        <w:bottom w:val="none" w:sz="0" w:space="0" w:color="auto"/>
        <w:right w:val="none" w:sz="0" w:space="0" w:color="auto"/>
      </w:divBdr>
    </w:div>
    <w:div w:id="1073426680">
      <w:marLeft w:val="640"/>
      <w:marRight w:val="0"/>
      <w:marTop w:val="0"/>
      <w:marBottom w:val="0"/>
      <w:divBdr>
        <w:top w:val="none" w:sz="0" w:space="0" w:color="auto"/>
        <w:left w:val="none" w:sz="0" w:space="0" w:color="auto"/>
        <w:bottom w:val="none" w:sz="0" w:space="0" w:color="auto"/>
        <w:right w:val="none" w:sz="0" w:space="0" w:color="auto"/>
      </w:divBdr>
    </w:div>
    <w:div w:id="1098209252">
      <w:marLeft w:val="640"/>
      <w:marRight w:val="0"/>
      <w:marTop w:val="0"/>
      <w:marBottom w:val="0"/>
      <w:divBdr>
        <w:top w:val="none" w:sz="0" w:space="0" w:color="auto"/>
        <w:left w:val="none" w:sz="0" w:space="0" w:color="auto"/>
        <w:bottom w:val="none" w:sz="0" w:space="0" w:color="auto"/>
        <w:right w:val="none" w:sz="0" w:space="0" w:color="auto"/>
      </w:divBdr>
    </w:div>
    <w:div w:id="1139419164">
      <w:marLeft w:val="640"/>
      <w:marRight w:val="0"/>
      <w:marTop w:val="0"/>
      <w:marBottom w:val="0"/>
      <w:divBdr>
        <w:top w:val="none" w:sz="0" w:space="0" w:color="auto"/>
        <w:left w:val="none" w:sz="0" w:space="0" w:color="auto"/>
        <w:bottom w:val="none" w:sz="0" w:space="0" w:color="auto"/>
        <w:right w:val="none" w:sz="0" w:space="0" w:color="auto"/>
      </w:divBdr>
    </w:div>
    <w:div w:id="1194883861">
      <w:marLeft w:val="640"/>
      <w:marRight w:val="0"/>
      <w:marTop w:val="0"/>
      <w:marBottom w:val="0"/>
      <w:divBdr>
        <w:top w:val="none" w:sz="0" w:space="0" w:color="auto"/>
        <w:left w:val="none" w:sz="0" w:space="0" w:color="auto"/>
        <w:bottom w:val="none" w:sz="0" w:space="0" w:color="auto"/>
        <w:right w:val="none" w:sz="0" w:space="0" w:color="auto"/>
      </w:divBdr>
    </w:div>
    <w:div w:id="1212839177">
      <w:marLeft w:val="640"/>
      <w:marRight w:val="0"/>
      <w:marTop w:val="0"/>
      <w:marBottom w:val="0"/>
      <w:divBdr>
        <w:top w:val="none" w:sz="0" w:space="0" w:color="auto"/>
        <w:left w:val="none" w:sz="0" w:space="0" w:color="auto"/>
        <w:bottom w:val="none" w:sz="0" w:space="0" w:color="auto"/>
        <w:right w:val="none" w:sz="0" w:space="0" w:color="auto"/>
      </w:divBdr>
    </w:div>
    <w:div w:id="1221790008">
      <w:marLeft w:val="640"/>
      <w:marRight w:val="0"/>
      <w:marTop w:val="0"/>
      <w:marBottom w:val="0"/>
      <w:divBdr>
        <w:top w:val="none" w:sz="0" w:space="0" w:color="auto"/>
        <w:left w:val="none" w:sz="0" w:space="0" w:color="auto"/>
        <w:bottom w:val="none" w:sz="0" w:space="0" w:color="auto"/>
        <w:right w:val="none" w:sz="0" w:space="0" w:color="auto"/>
      </w:divBdr>
    </w:div>
    <w:div w:id="1222906646">
      <w:marLeft w:val="640"/>
      <w:marRight w:val="0"/>
      <w:marTop w:val="0"/>
      <w:marBottom w:val="0"/>
      <w:divBdr>
        <w:top w:val="none" w:sz="0" w:space="0" w:color="auto"/>
        <w:left w:val="none" w:sz="0" w:space="0" w:color="auto"/>
        <w:bottom w:val="none" w:sz="0" w:space="0" w:color="auto"/>
        <w:right w:val="none" w:sz="0" w:space="0" w:color="auto"/>
      </w:divBdr>
    </w:div>
    <w:div w:id="1231772484">
      <w:marLeft w:val="640"/>
      <w:marRight w:val="0"/>
      <w:marTop w:val="0"/>
      <w:marBottom w:val="0"/>
      <w:divBdr>
        <w:top w:val="none" w:sz="0" w:space="0" w:color="auto"/>
        <w:left w:val="none" w:sz="0" w:space="0" w:color="auto"/>
        <w:bottom w:val="none" w:sz="0" w:space="0" w:color="auto"/>
        <w:right w:val="none" w:sz="0" w:space="0" w:color="auto"/>
      </w:divBdr>
    </w:div>
    <w:div w:id="1239634164">
      <w:marLeft w:val="640"/>
      <w:marRight w:val="0"/>
      <w:marTop w:val="0"/>
      <w:marBottom w:val="0"/>
      <w:divBdr>
        <w:top w:val="none" w:sz="0" w:space="0" w:color="auto"/>
        <w:left w:val="none" w:sz="0" w:space="0" w:color="auto"/>
        <w:bottom w:val="none" w:sz="0" w:space="0" w:color="auto"/>
        <w:right w:val="none" w:sz="0" w:space="0" w:color="auto"/>
      </w:divBdr>
    </w:div>
    <w:div w:id="1242325824">
      <w:marLeft w:val="640"/>
      <w:marRight w:val="0"/>
      <w:marTop w:val="0"/>
      <w:marBottom w:val="0"/>
      <w:divBdr>
        <w:top w:val="none" w:sz="0" w:space="0" w:color="auto"/>
        <w:left w:val="none" w:sz="0" w:space="0" w:color="auto"/>
        <w:bottom w:val="none" w:sz="0" w:space="0" w:color="auto"/>
        <w:right w:val="none" w:sz="0" w:space="0" w:color="auto"/>
      </w:divBdr>
    </w:div>
    <w:div w:id="1291782407">
      <w:marLeft w:val="640"/>
      <w:marRight w:val="0"/>
      <w:marTop w:val="0"/>
      <w:marBottom w:val="0"/>
      <w:divBdr>
        <w:top w:val="none" w:sz="0" w:space="0" w:color="auto"/>
        <w:left w:val="none" w:sz="0" w:space="0" w:color="auto"/>
        <w:bottom w:val="none" w:sz="0" w:space="0" w:color="auto"/>
        <w:right w:val="none" w:sz="0" w:space="0" w:color="auto"/>
      </w:divBdr>
    </w:div>
    <w:div w:id="1331057105">
      <w:marLeft w:val="640"/>
      <w:marRight w:val="0"/>
      <w:marTop w:val="0"/>
      <w:marBottom w:val="0"/>
      <w:divBdr>
        <w:top w:val="none" w:sz="0" w:space="0" w:color="auto"/>
        <w:left w:val="none" w:sz="0" w:space="0" w:color="auto"/>
        <w:bottom w:val="none" w:sz="0" w:space="0" w:color="auto"/>
        <w:right w:val="none" w:sz="0" w:space="0" w:color="auto"/>
      </w:divBdr>
    </w:div>
    <w:div w:id="1392731395">
      <w:marLeft w:val="640"/>
      <w:marRight w:val="0"/>
      <w:marTop w:val="0"/>
      <w:marBottom w:val="0"/>
      <w:divBdr>
        <w:top w:val="none" w:sz="0" w:space="0" w:color="auto"/>
        <w:left w:val="none" w:sz="0" w:space="0" w:color="auto"/>
        <w:bottom w:val="none" w:sz="0" w:space="0" w:color="auto"/>
        <w:right w:val="none" w:sz="0" w:space="0" w:color="auto"/>
      </w:divBdr>
    </w:div>
    <w:div w:id="1413356699">
      <w:marLeft w:val="640"/>
      <w:marRight w:val="0"/>
      <w:marTop w:val="0"/>
      <w:marBottom w:val="0"/>
      <w:divBdr>
        <w:top w:val="none" w:sz="0" w:space="0" w:color="auto"/>
        <w:left w:val="none" w:sz="0" w:space="0" w:color="auto"/>
        <w:bottom w:val="none" w:sz="0" w:space="0" w:color="auto"/>
        <w:right w:val="none" w:sz="0" w:space="0" w:color="auto"/>
      </w:divBdr>
    </w:div>
    <w:div w:id="1417946536">
      <w:marLeft w:val="640"/>
      <w:marRight w:val="0"/>
      <w:marTop w:val="0"/>
      <w:marBottom w:val="0"/>
      <w:divBdr>
        <w:top w:val="none" w:sz="0" w:space="0" w:color="auto"/>
        <w:left w:val="none" w:sz="0" w:space="0" w:color="auto"/>
        <w:bottom w:val="none" w:sz="0" w:space="0" w:color="auto"/>
        <w:right w:val="none" w:sz="0" w:space="0" w:color="auto"/>
      </w:divBdr>
    </w:div>
    <w:div w:id="1547520986">
      <w:marLeft w:val="640"/>
      <w:marRight w:val="0"/>
      <w:marTop w:val="0"/>
      <w:marBottom w:val="0"/>
      <w:divBdr>
        <w:top w:val="none" w:sz="0" w:space="0" w:color="auto"/>
        <w:left w:val="none" w:sz="0" w:space="0" w:color="auto"/>
        <w:bottom w:val="none" w:sz="0" w:space="0" w:color="auto"/>
        <w:right w:val="none" w:sz="0" w:space="0" w:color="auto"/>
      </w:divBdr>
    </w:div>
    <w:div w:id="1600522204">
      <w:marLeft w:val="640"/>
      <w:marRight w:val="0"/>
      <w:marTop w:val="0"/>
      <w:marBottom w:val="0"/>
      <w:divBdr>
        <w:top w:val="none" w:sz="0" w:space="0" w:color="auto"/>
        <w:left w:val="none" w:sz="0" w:space="0" w:color="auto"/>
        <w:bottom w:val="none" w:sz="0" w:space="0" w:color="auto"/>
        <w:right w:val="none" w:sz="0" w:space="0" w:color="auto"/>
      </w:divBdr>
    </w:div>
    <w:div w:id="1632783853">
      <w:marLeft w:val="640"/>
      <w:marRight w:val="0"/>
      <w:marTop w:val="0"/>
      <w:marBottom w:val="0"/>
      <w:divBdr>
        <w:top w:val="none" w:sz="0" w:space="0" w:color="auto"/>
        <w:left w:val="none" w:sz="0" w:space="0" w:color="auto"/>
        <w:bottom w:val="none" w:sz="0" w:space="0" w:color="auto"/>
        <w:right w:val="none" w:sz="0" w:space="0" w:color="auto"/>
      </w:divBdr>
    </w:div>
    <w:div w:id="1663580199">
      <w:marLeft w:val="640"/>
      <w:marRight w:val="0"/>
      <w:marTop w:val="0"/>
      <w:marBottom w:val="0"/>
      <w:divBdr>
        <w:top w:val="none" w:sz="0" w:space="0" w:color="auto"/>
        <w:left w:val="none" w:sz="0" w:space="0" w:color="auto"/>
        <w:bottom w:val="none" w:sz="0" w:space="0" w:color="auto"/>
        <w:right w:val="none" w:sz="0" w:space="0" w:color="auto"/>
      </w:divBdr>
    </w:div>
    <w:div w:id="1692679627">
      <w:marLeft w:val="640"/>
      <w:marRight w:val="0"/>
      <w:marTop w:val="0"/>
      <w:marBottom w:val="0"/>
      <w:divBdr>
        <w:top w:val="none" w:sz="0" w:space="0" w:color="auto"/>
        <w:left w:val="none" w:sz="0" w:space="0" w:color="auto"/>
        <w:bottom w:val="none" w:sz="0" w:space="0" w:color="auto"/>
        <w:right w:val="none" w:sz="0" w:space="0" w:color="auto"/>
      </w:divBdr>
    </w:div>
    <w:div w:id="1696149114">
      <w:marLeft w:val="640"/>
      <w:marRight w:val="0"/>
      <w:marTop w:val="0"/>
      <w:marBottom w:val="0"/>
      <w:divBdr>
        <w:top w:val="none" w:sz="0" w:space="0" w:color="auto"/>
        <w:left w:val="none" w:sz="0" w:space="0" w:color="auto"/>
        <w:bottom w:val="none" w:sz="0" w:space="0" w:color="auto"/>
        <w:right w:val="none" w:sz="0" w:space="0" w:color="auto"/>
      </w:divBdr>
    </w:div>
    <w:div w:id="1716007255">
      <w:marLeft w:val="640"/>
      <w:marRight w:val="0"/>
      <w:marTop w:val="0"/>
      <w:marBottom w:val="0"/>
      <w:divBdr>
        <w:top w:val="none" w:sz="0" w:space="0" w:color="auto"/>
        <w:left w:val="none" w:sz="0" w:space="0" w:color="auto"/>
        <w:bottom w:val="none" w:sz="0" w:space="0" w:color="auto"/>
        <w:right w:val="none" w:sz="0" w:space="0" w:color="auto"/>
      </w:divBdr>
    </w:div>
    <w:div w:id="1741246570">
      <w:marLeft w:val="640"/>
      <w:marRight w:val="0"/>
      <w:marTop w:val="0"/>
      <w:marBottom w:val="0"/>
      <w:divBdr>
        <w:top w:val="none" w:sz="0" w:space="0" w:color="auto"/>
        <w:left w:val="none" w:sz="0" w:space="0" w:color="auto"/>
        <w:bottom w:val="none" w:sz="0" w:space="0" w:color="auto"/>
        <w:right w:val="none" w:sz="0" w:space="0" w:color="auto"/>
      </w:divBdr>
    </w:div>
    <w:div w:id="1765765303">
      <w:marLeft w:val="640"/>
      <w:marRight w:val="0"/>
      <w:marTop w:val="0"/>
      <w:marBottom w:val="0"/>
      <w:divBdr>
        <w:top w:val="none" w:sz="0" w:space="0" w:color="auto"/>
        <w:left w:val="none" w:sz="0" w:space="0" w:color="auto"/>
        <w:bottom w:val="none" w:sz="0" w:space="0" w:color="auto"/>
        <w:right w:val="none" w:sz="0" w:space="0" w:color="auto"/>
      </w:divBdr>
    </w:div>
    <w:div w:id="1864593568">
      <w:marLeft w:val="640"/>
      <w:marRight w:val="0"/>
      <w:marTop w:val="0"/>
      <w:marBottom w:val="0"/>
      <w:divBdr>
        <w:top w:val="none" w:sz="0" w:space="0" w:color="auto"/>
        <w:left w:val="none" w:sz="0" w:space="0" w:color="auto"/>
        <w:bottom w:val="none" w:sz="0" w:space="0" w:color="auto"/>
        <w:right w:val="none" w:sz="0" w:space="0" w:color="auto"/>
      </w:divBdr>
    </w:div>
    <w:div w:id="1886218093">
      <w:marLeft w:val="640"/>
      <w:marRight w:val="0"/>
      <w:marTop w:val="0"/>
      <w:marBottom w:val="0"/>
      <w:divBdr>
        <w:top w:val="none" w:sz="0" w:space="0" w:color="auto"/>
        <w:left w:val="none" w:sz="0" w:space="0" w:color="auto"/>
        <w:bottom w:val="none" w:sz="0" w:space="0" w:color="auto"/>
        <w:right w:val="none" w:sz="0" w:space="0" w:color="auto"/>
      </w:divBdr>
    </w:div>
    <w:div w:id="1898466394">
      <w:marLeft w:val="640"/>
      <w:marRight w:val="0"/>
      <w:marTop w:val="0"/>
      <w:marBottom w:val="0"/>
      <w:divBdr>
        <w:top w:val="none" w:sz="0" w:space="0" w:color="auto"/>
        <w:left w:val="none" w:sz="0" w:space="0" w:color="auto"/>
        <w:bottom w:val="none" w:sz="0" w:space="0" w:color="auto"/>
        <w:right w:val="none" w:sz="0" w:space="0" w:color="auto"/>
      </w:divBdr>
    </w:div>
    <w:div w:id="1936598500">
      <w:marLeft w:val="640"/>
      <w:marRight w:val="0"/>
      <w:marTop w:val="0"/>
      <w:marBottom w:val="0"/>
      <w:divBdr>
        <w:top w:val="none" w:sz="0" w:space="0" w:color="auto"/>
        <w:left w:val="none" w:sz="0" w:space="0" w:color="auto"/>
        <w:bottom w:val="none" w:sz="0" w:space="0" w:color="auto"/>
        <w:right w:val="none" w:sz="0" w:space="0" w:color="auto"/>
      </w:divBdr>
    </w:div>
    <w:div w:id="1940020177">
      <w:marLeft w:val="640"/>
      <w:marRight w:val="0"/>
      <w:marTop w:val="0"/>
      <w:marBottom w:val="0"/>
      <w:divBdr>
        <w:top w:val="none" w:sz="0" w:space="0" w:color="auto"/>
        <w:left w:val="none" w:sz="0" w:space="0" w:color="auto"/>
        <w:bottom w:val="none" w:sz="0" w:space="0" w:color="auto"/>
        <w:right w:val="none" w:sz="0" w:space="0" w:color="auto"/>
      </w:divBdr>
    </w:div>
    <w:div w:id="1968852927">
      <w:marLeft w:val="640"/>
      <w:marRight w:val="0"/>
      <w:marTop w:val="0"/>
      <w:marBottom w:val="0"/>
      <w:divBdr>
        <w:top w:val="none" w:sz="0" w:space="0" w:color="auto"/>
        <w:left w:val="none" w:sz="0" w:space="0" w:color="auto"/>
        <w:bottom w:val="none" w:sz="0" w:space="0" w:color="auto"/>
        <w:right w:val="none" w:sz="0" w:space="0" w:color="auto"/>
      </w:divBdr>
    </w:div>
    <w:div w:id="1991517621">
      <w:marLeft w:val="640"/>
      <w:marRight w:val="0"/>
      <w:marTop w:val="0"/>
      <w:marBottom w:val="0"/>
      <w:divBdr>
        <w:top w:val="none" w:sz="0" w:space="0" w:color="auto"/>
        <w:left w:val="none" w:sz="0" w:space="0" w:color="auto"/>
        <w:bottom w:val="none" w:sz="0" w:space="0" w:color="auto"/>
        <w:right w:val="none" w:sz="0" w:space="0" w:color="auto"/>
      </w:divBdr>
    </w:div>
    <w:div w:id="2014795062">
      <w:marLeft w:val="640"/>
      <w:marRight w:val="0"/>
      <w:marTop w:val="0"/>
      <w:marBottom w:val="0"/>
      <w:divBdr>
        <w:top w:val="none" w:sz="0" w:space="0" w:color="auto"/>
        <w:left w:val="none" w:sz="0" w:space="0" w:color="auto"/>
        <w:bottom w:val="none" w:sz="0" w:space="0" w:color="auto"/>
        <w:right w:val="none" w:sz="0" w:space="0" w:color="auto"/>
      </w:divBdr>
    </w:div>
    <w:div w:id="2065443872">
      <w:marLeft w:val="640"/>
      <w:marRight w:val="0"/>
      <w:marTop w:val="0"/>
      <w:marBottom w:val="0"/>
      <w:divBdr>
        <w:top w:val="none" w:sz="0" w:space="0" w:color="auto"/>
        <w:left w:val="none" w:sz="0" w:space="0" w:color="auto"/>
        <w:bottom w:val="none" w:sz="0" w:space="0" w:color="auto"/>
        <w:right w:val="none" w:sz="0" w:space="0" w:color="auto"/>
      </w:divBdr>
    </w:div>
    <w:div w:id="2065636130">
      <w:marLeft w:val="640"/>
      <w:marRight w:val="0"/>
      <w:marTop w:val="0"/>
      <w:marBottom w:val="0"/>
      <w:divBdr>
        <w:top w:val="none" w:sz="0" w:space="0" w:color="auto"/>
        <w:left w:val="none" w:sz="0" w:space="0" w:color="auto"/>
        <w:bottom w:val="none" w:sz="0" w:space="0" w:color="auto"/>
        <w:right w:val="none" w:sz="0" w:space="0" w:color="auto"/>
      </w:divBdr>
    </w:div>
    <w:div w:id="2116095435">
      <w:marLeft w:val="640"/>
      <w:marRight w:val="0"/>
      <w:marTop w:val="0"/>
      <w:marBottom w:val="0"/>
      <w:divBdr>
        <w:top w:val="none" w:sz="0" w:space="0" w:color="auto"/>
        <w:left w:val="none" w:sz="0" w:space="0" w:color="auto"/>
        <w:bottom w:val="none" w:sz="0" w:space="0" w:color="auto"/>
        <w:right w:val="none" w:sz="0" w:space="0" w:color="auto"/>
      </w:divBdr>
    </w:div>
    <w:div w:id="2122794911">
      <w:marLeft w:val="640"/>
      <w:marRight w:val="0"/>
      <w:marTop w:val="0"/>
      <w:marBottom w:val="0"/>
      <w:divBdr>
        <w:top w:val="none" w:sz="0" w:space="0" w:color="auto"/>
        <w:left w:val="none" w:sz="0" w:space="0" w:color="auto"/>
        <w:bottom w:val="none" w:sz="0" w:space="0" w:color="auto"/>
        <w:right w:val="none" w:sz="0" w:space="0" w:color="auto"/>
      </w:divBdr>
    </w:div>
    <w:div w:id="2142723009">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rive.google.com/drive/folders/1BkbY9bszhbWbFm5n9kPyqMlWFAxLD24U?usp=sharin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3" Type="http://schemas.openxmlformats.org/officeDocument/2006/relationships/hyperlink" Target="http://issn.pdii.lipi.go.id/issn.cgi?daftar&amp;1500357879&amp;1&amp;&amp;2017" TargetMode="External"/><Relationship Id="rId2" Type="http://schemas.openxmlformats.org/officeDocument/2006/relationships/hyperlink" Target="http://jurnal.unsur.ac.id/JMTSI" TargetMode="External"/><Relationship Id="rId1" Type="http://schemas.openxmlformats.org/officeDocument/2006/relationships/image" Target="media/image10.png"/><Relationship Id="rId4" Type="http://schemas.openxmlformats.org/officeDocument/2006/relationships/hyperlink" Target="http://issn.pdii.lipi.go.id/issn.cgi?daftar&amp;1500356553&amp;1&amp;&amp;201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5E2ED9C-E70A-453E-8317-DFE7E306C9B4}"/>
      </w:docPartPr>
      <w:docPartBody>
        <w:p w:rsidR="00A33B4D" w:rsidRDefault="00664DDF">
          <w:r w:rsidRPr="00F9018A">
            <w:rPr>
              <w:rStyle w:val="PlaceholderText"/>
            </w:rPr>
            <w:t>Click or tap here to enter text.</w:t>
          </w:r>
        </w:p>
      </w:docPartBody>
    </w:docPart>
    <w:docPart>
      <w:docPartPr>
        <w:name w:val="72E6B8F0551C448F91EE61763454DDD1"/>
        <w:category>
          <w:name w:val="General"/>
          <w:gallery w:val="placeholder"/>
        </w:category>
        <w:types>
          <w:type w:val="bbPlcHdr"/>
        </w:types>
        <w:behaviors>
          <w:behavior w:val="content"/>
        </w:behaviors>
        <w:guid w:val="{B3BF325D-0993-409E-9936-BB07A3A2C8E8}"/>
      </w:docPartPr>
      <w:docPartBody>
        <w:p w:rsidR="00B947D8" w:rsidRDefault="00A33B4D" w:rsidP="00A33B4D">
          <w:pPr>
            <w:pStyle w:val="72E6B8F0551C448F91EE61763454DDD1"/>
          </w:pPr>
          <w:r w:rsidRPr="00F9018A">
            <w:rPr>
              <w:rStyle w:val="PlaceholderText"/>
            </w:rPr>
            <w:t>Click or tap here to enter text.</w:t>
          </w:r>
        </w:p>
      </w:docPartBody>
    </w:docPart>
    <w:docPart>
      <w:docPartPr>
        <w:name w:val="7F1449B7198547D49CF347E0BB710D5B"/>
        <w:category>
          <w:name w:val="General"/>
          <w:gallery w:val="placeholder"/>
        </w:category>
        <w:types>
          <w:type w:val="bbPlcHdr"/>
        </w:types>
        <w:behaviors>
          <w:behavior w:val="content"/>
        </w:behaviors>
        <w:guid w:val="{F5533911-B51A-4088-B84A-0C909135F80F}"/>
      </w:docPartPr>
      <w:docPartBody>
        <w:p w:rsidR="00B947D8" w:rsidRDefault="00A33B4D" w:rsidP="00A33B4D">
          <w:pPr>
            <w:pStyle w:val="7F1449B7198547D49CF347E0BB710D5B"/>
          </w:pPr>
          <w:r w:rsidRPr="00F9018A">
            <w:rPr>
              <w:rStyle w:val="PlaceholderText"/>
            </w:rPr>
            <w:t>Click or tap here to enter text.</w:t>
          </w:r>
        </w:p>
      </w:docPartBody>
    </w:docPart>
    <w:docPart>
      <w:docPartPr>
        <w:name w:val="A1214D57A5F2450CB63993024308F2DB"/>
        <w:category>
          <w:name w:val="General"/>
          <w:gallery w:val="placeholder"/>
        </w:category>
        <w:types>
          <w:type w:val="bbPlcHdr"/>
        </w:types>
        <w:behaviors>
          <w:behavior w:val="content"/>
        </w:behaviors>
        <w:guid w:val="{D36C9F1E-4ED8-4A58-92B2-972079D446B5}"/>
      </w:docPartPr>
      <w:docPartBody>
        <w:p w:rsidR="00B947D8" w:rsidRDefault="00A33B4D" w:rsidP="00A33B4D">
          <w:pPr>
            <w:pStyle w:val="A1214D57A5F2450CB63993024308F2DB"/>
          </w:pPr>
          <w:r w:rsidRPr="00F9018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Junicode">
    <w:altName w:val="Times New Roman"/>
    <w:charset w:val="00"/>
    <w:family w:val="auto"/>
    <w:pitch w:val="variable"/>
    <w:sig w:usb0="E40000FF" w:usb1="5000E4FF" w:usb2="00008004" w:usb3="00000000" w:csb0="8000009B"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Ebrima">
    <w:panose1 w:val="02000000000000000000"/>
    <w:charset w:val="00"/>
    <w:family w:val="auto"/>
    <w:pitch w:val="variable"/>
    <w:sig w:usb0="A000005F" w:usb1="02000041" w:usb2="000008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DDF"/>
    <w:rsid w:val="00016417"/>
    <w:rsid w:val="00051CDF"/>
    <w:rsid w:val="001D7044"/>
    <w:rsid w:val="005977C3"/>
    <w:rsid w:val="00664DDF"/>
    <w:rsid w:val="006D3B5F"/>
    <w:rsid w:val="007112CA"/>
    <w:rsid w:val="00804923"/>
    <w:rsid w:val="00A33B4D"/>
    <w:rsid w:val="00A56D04"/>
    <w:rsid w:val="00AB1222"/>
    <w:rsid w:val="00B34FE5"/>
    <w:rsid w:val="00B947D8"/>
    <w:rsid w:val="00BA5C6C"/>
    <w:rsid w:val="00BB7FD2"/>
    <w:rsid w:val="00C1021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3B4D"/>
    <w:rPr>
      <w:color w:val="666666"/>
    </w:rPr>
  </w:style>
  <w:style w:type="paragraph" w:customStyle="1" w:styleId="72E6B8F0551C448F91EE61763454DDD1">
    <w:name w:val="72E6B8F0551C448F91EE61763454DDD1"/>
    <w:rsid w:val="00A33B4D"/>
  </w:style>
  <w:style w:type="paragraph" w:customStyle="1" w:styleId="7F1449B7198547D49CF347E0BB710D5B">
    <w:name w:val="7F1449B7198547D49CF347E0BB710D5B"/>
    <w:rsid w:val="00A33B4D"/>
  </w:style>
  <w:style w:type="paragraph" w:customStyle="1" w:styleId="A1214D57A5F2450CB63993024308F2DB">
    <w:name w:val="A1214D57A5F2450CB63993024308F2DB"/>
    <w:rsid w:val="00A33B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608C52-98A7-4AF2-BBC2-DAD17A65902D}">
  <we:reference id="wa104382081" version="1.55.1.0" store="en-001" storeType="OMEX"/>
  <we:alternateReferences>
    <we:reference id="WA104382081" version="1.55.1.0" store="" storeType="OMEX"/>
  </we:alternateReferences>
  <we:properties>
    <we:property name="MENDELEY_BIBLIOGRAPHY_IS_DIRTY" value="true"/>
    <we:property name="MENDELEY_BIBLIOGRAPHY_LAST_MODIFIED" value="1791939861384"/>
    <we:property name="MENDELEY_CITATIONS" value="[{&quot;citationID&quot;:&quot;MENDELEY_CITATION_f9e9e678-900e-47ce-a99c-71f601b771e5&quot;,&quot;properties&quot;:{&quot;noteIndex&quot;:0},&quot;isEdited&quot;:false,&quot;manualOverride&quot;:{&quot;citeprocText&quot;:&quot;[1]&quot;,&quot;isManuallyOverridden&quot;:false,&quot;manualOverrideText&quot;:&quot;&quot;},&quot;citationTag&quot;:&quot;MENDELEY_CITATION_v3_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&quot;,&quot;citationItems&quot;:[{&quot;id&quot;:&quot;7452c56e-5d5d-5718-88d4-f1639c64fbda&quot;,&quot;itemData&quot;:{&quot;DOI&quot;:&quot;10.61722/jiem.v3i4.4380&quot;,&quot;ISSN&quot;:&quot;3025-7972&quot;,&quot;abstract&quot;:&quot;Industri kecil dan Menengah (IKM) merupakan salah satu sektor yang penting dalam perekonomian Indonesia. Kita menyadar bahwa pengembangan IKM didaerah sangat erat kaitnya dengan otonomi daera. Kecamatan rungkut memiliki jumlah Industri Menengah dan Industri Rumah Tangga sejumlah 1.219 . Kecamatan Rungkut mengalamikenaikan industri kecil dan industri rumah tangga pada pertengahan covid-19, industri kecil dan rumahan sebagian besar dibidang makanan dan kerajinan. Tujuan dari penelitian ini adalah adalah untuk mengetahui pola spasial IKM dan IRT di kecamatan rungkut, dengan metode yang akan digunakandidalam penelitian ini ada beberapa metode yaitu teknik pengumpulan data, teknis analisis data, populasi dan sampel dan metoe pengumpulan data. Untuk hasil yang didapatan dalam penelitian ini adalah industri kecil dan rumah tangga memiliki karakteristik sebagai industri dengan kekayaan sebesar Rp.200.000.000,- (dua ratus juta rupiah) yang tidak termasuk tanah dan bangunan tempat usaha, hal ini diartikan sebagai modal awal berdirinya suatu usaha yang dijadikan nilai investasi, Modal awal ini mencakup biaya pengadaan peralatan maupun mesin dalam proses produsi. Industri kecil dan rumah tangga biasanya hanya menghasilkan penjualan maksimal sebesar Rp.1000.000.000,- (satu miliar rupiah) per tahunnya.&quot;,&quot;author&quot;:[{&quot;dropping-particle&quot;:&quot;&quot;,&quot;family&quot;:&quot;Kristianti&quot;,&quot;given&quot;:&quot;Rina Dewi&quot;,&quot;non-dropping-particle&quot;:&quot;&quot;,&quot;parse-names&quot;:false,&quot;suffix&quot;:&quot;&quot;},{&quot;dropping-particle&quot;:&quot;&quot;,&quot;family&quot;:&quot;Chusen&quot;,&quot;given&quot;:&quot;M. Rizal Amri Chusen&quot;,&quot;non-dropping-particle&quot;:&quot;&quot;,&quot;parse-names&quot;:false,&quot;suffix&quot;:&quot;&quot;},{&quot;dropping-particle&quot;:&quot;&quot;,&quot;family&quot;:&quot;Yasin&quot;,&quot;given&quot;:&quot;Muhammad&quot;,&quot;non-dropping-particle&quot;:&quot;&quot;,&quot;parse-names&quot;:false,&quot;suffix&quot;:&quot;&quot;}],&quot;container-title&quot;:&quot;POPULER: Jurnal Penelitian Mahasiswa&quot;,&quot;id&quot;:&quot;7452c56e-5d5d-5718-88d4-f1639c64fbda&quot;,&quot;issue&quot;:&quot;4&quot;,&quot;issued&quot;:{&quot;date-parts&quot;:[[&quot;2023&quot;]]},&quot;page&quot;:&quot;55-66&quot;,&quot;title&quot;:&quot;Analisis Pola Spasial Industri Kecil Menengah (Ikm) Dan Industri Rumah Tangga (Irt) Di Kabupaten Dan Kota&quot;,&quot;type&quot;:&quot;article-journal&quot;,&quot;volume&quot;:&quot;3&quot;,&quot;container-title-short&quot;:&quot;&quot;},&quot;uris&quot;:[&quot;http://www.mendeley.com/documents/?uuid=613e2d17-b21c-425b-a12e-063f0a75aa95&quot;],&quot;isTemporary&quot;:false,&quot;legacyDesktopId&quot;:&quot;613e2d17-b21c-425b-a12e-063f0a75aa95&quot;}]},{&quot;citationID&quot;:&quot;MENDELEY_CITATION_3ebdc22a-0937-4e51-8337-8b575307f312&quot;,&quot;properties&quot;:{&quot;noteIndex&quot;:0},&quot;isEdited&quot;:false,&quot;manualOverride&quot;:{&quot;citeprocText&quot;:&quot;[2]&quot;,&quot;isManuallyOverridden&quot;:false,&quot;manualOverrideText&quot;:&quot;&quot;},&quot;citationTag&quot;:&quot;MENDELEY_CITATION_v3_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&quot;,&quot;citationItems&quot;:[{&quot;id&quot;:&quot;aedd50ae-6874-5fe9-947b-2fb25a5018e5&quot;,&quot;itemData&quot;:{&quot;ISSN&quot;:&quot;2746-6773&quot;,&quot;abstract&quot;:&quot;Profil Industri Mikro dan Kecil (IMK) 2020 bertujuan untuk memberikan gambaran umum usaha IMK di Indonesia selama tahun 2020 berdasarkan klasifikasi lapangan usaha Indonesia dan provinsi. Gambaran umum IMK meliputi data banyaknya usaha/perusahaan, pekerja, balas jasa pekerja, pengeluaran, pendapatan, permodalan, kesulitan usaha, pelayanan dan bimbingan usaha, penggunaan internet, distribusi pemasaran, serta dampak pandemi COVID-19 terhadap IMK pada tahun 2020. Data pada Profil IMK 2020 diperoleh dari hasil Survei IMK 2020 Tahunan pada tahun 2020 di 34 provinsi di Indonesia. Publikasi Profil IMK 2020 ini merupakan kelanjutan dari publikasi sebelumnya yang diterbitkan setiap tahun oleh Badan Pusat Statistik.&quot;,&quot;author&quot;:[{&quot;dropping-particle&quot;:&quot;&quot;,&quot;family&quot;:&quot;Badan Pusat Statistik&quot;,&quot;given&quot;:&quot;&quot;,&quot;non-dropping-particle&quot;:&quot;&quot;,&quot;parse-names&quot;:false,&quot;suffix&quot;:&quot;&quot;}],&quot;container-title&quot;:&quot;Badan Pusat Statistik&quot;,&quot;id&quot;:&quot;aedd50ae-6874-5fe9-947b-2fb25a5018e5&quot;,&quot;issued&quot;:{&quot;date-parts&quot;:[[&quot;2023&quot;]]},&quot;number-of-pages&quot;:&quot;1-239&quot;,&quot;title&quot;:&quot;Profil Industri Mikro dan Kecil 2023&quot;,&quot;type&quot;:&quot;report&quot;,&quot;volume&quot;:&quot;13&quot;,&quot;container-title-short&quot;:&quot;&quot;},&quot;uris&quot;:[&quot;http://www.mendeley.com/documents/?uuid=95dffeff-3bae-43eb-aec1-6b7516d0a858&quot;],&quot;isTemporary&quot;:false,&quot;legacyDesktopId&quot;:&quot;95dffeff-3bae-43eb-aec1-6b7516d0a858&quot;}]},{&quot;citationID&quot;:&quot;MENDELEY_CITATION_5828bf02-615e-4854-8a36-c6ba2d888805&quot;,&quot;properties&quot;:{&quot;noteIndex&quot;:0},&quot;isEdited&quot;:false,&quot;manualOverride&quot;:{&quot;citeprocText&quot;:&quot;[3]&quot;,&quot;isManuallyOverridden&quot;:false,&quot;manualOverrideText&quot;:&quot;&quot;},&quot;citationTag&quot;:&quot;MENDELEY_CITATION_v3_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&quot;,&quot;citationItems&quot;:[{&quot;id&quot;:&quot;fe1df191-4074-51dd-bc1d-afc53d5f919b&quot;,&quot;itemData&quot;:{&quot;DOI&quot;:&quot;https://doi.org/10.24114/jgpkm.v2i2.40334&quot;,&quot;ISSN&quot;:&quot;2777-1121&quot;,&quot;abstract&quot;:&quot;Tempe adalah makanan yang familiar bagi masyarakat Indonesia yang terbuat dari kedelaiyangdifermentasi. Masyarakat mengonsumsi tempe karena kandungan proteinnya yang tinggi dan produksinya pun mudah. Kedelai diberikanragi kapang Rhizopussp. lalu difermentasi kurang lebih 48 jam untuk menghasilkan tempe yang utuh. Rhizopus oligosporusdan Rhizopus oryzaemerupakan jenis kapang yang paling banyak ditemukan pada tempe. Fermentasi pada tempe menyebabkan terhidrolisisnya karbohidrat, protein, dan lemak pada kedelai oleh enzim hidrolitik yang dihasilkan oleh Rhizopussp. Senyawa bioaktif yang bersifat antibakteri seperti flavonoid juga terbentuk pada proses fermentasi kedelai tempe oleh kapang. Metode produksi tempe terbilang mudah dan masih banyak diproduksi secara tradisional oleh masyarakat Indonesia yang diawali dengan membersihkan kedelainya. Tahap akhir dari produksi tempe adalah tahap fermentasi itu sendiri dan membungkusnya dengan pembungkus tertentu. Jenis pembungkus dapat berupa daun maupun plastik. Masing –masing jenis pembungkus memiliki kelebihan dan kekurangannya sendiri, namun jenis pembungkus tempe daun dinilai lebih unggul. Jenis pembungkus perlu dipertimbangkan mengingat faktor ini menentukan kualitas produk dan sifat fisik dari tempe hasil fermentasi kedelai oleh Rhizopussp.Tempe berpotensi sebagai pangan fungsional mengingat kandungan gizi,senyawa bioaktif,dan manfaat yang didapatkan dengan mengonsumsi tempe.Tempe memiliki manfaat untuk kesehatan sebagai antibakteri, antioksidan, antialergi, antiinfeksi, dan hepatoprotektor.Kata kunci—Fermentasi, Rhizopus sp., Tempe&quot;,&quot;author&quot;:[{&quot;dropping-particle&quot;:&quot;&quot;,&quot;family&quot;:&quot;Kristiadi&quot;,&quot;given&quot;:&quot;Okti Hajeng&quot;,&quot;non-dropping-particle&quot;:&quot;&quot;,&quot;parse-names&quot;:false,&quot;suffix&quot;:&quot;&quot;},{&quot;dropping-particle&quot;:&quot;&quot;,&quot;family&quot;:&quot;Lunggani&quot;,&quot;given&quot;:&quot;Arina Tri&quot;,&quot;non-dropping-particle&quot;:&quot;&quot;,&quot;parse-names&quot;:false,&quot;suffix&quot;:&quot;&quot;}],&quot;container-title&quot;:&quot;Jurnal Andaliman-Jurnal Gizi Pangan, Klinik Dan Masyarakat&quot;,&quot;id&quot;:&quot;fe1df191-4074-51dd-bc1d-afc53d5f919b&quot;,&quot;issue&quot;:&quot;2&quot;,&quot;issued&quot;:{&quot;date-parts&quot;:[[&quot;2022&quot;]]},&quot;page&quot;:&quot;48-56&quot;,&quot;title&quot;:&quot;Tempe Kacang sebagai Pangan Fermentasi Unggulan Khas Indonesia: Literature Review&quot;,&quot;type&quot;:&quot;article-journal&quot;,&quot;volume&quot;:&quot;2&quot;,&quot;container-title-short&quot;:&quot;&quot;},&quot;uris&quot;:[&quot;http://www.mendeley.com/documents/?uuid=4c62e2b7-e81a-476b-b694-9ac1e3101d64&quot;],&quot;isTemporary&quot;:false,&quot;legacyDesktopId&quot;:&quot;4c62e2b7-e81a-476b-b694-9ac1e3101d64&quot;}]},{&quot;citationID&quot;:&quot;MENDELEY_CITATION_666a5363-03a2-4c40-9f20-47f209f2e97e&quot;,&quot;properties&quot;:{&quot;noteIndex&quot;:0},&quot;isEdited&quot;:false,&quot;manualOverride&quot;:{&quot;citeprocText&quot;:&quot;[4]&quot;,&quot;isManuallyOverridden&quot;:false,&quot;manualOverrideText&quot;:&quot;&quot;},&quot;citationTag&quot;:&quot;MENDELEY_CITATION_v3_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&quot;,&quot;citationItems&quot;:[{&quot;id&quot;:&quot;b0a1537c-516c-5ad9-a9e9-07ae1b336d13&quot;,&quot;itemData&quot;:{&quot;author&quot;:[{&quot;dropping-particle&quot;:&quot;&quot;,&quot;family&quot;:&quot;Badan Pusat Statistik&quot;,&quot;given&quot;:&quot;&quot;,&quot;non-dropping-particle&quot;:&quot;&quot;,&quot;parse-names&quot;:false,&quot;suffix&quot;:&quot;&quot;}],&quot;id&quot;:&quot;b0a1537c-516c-5ad9-a9e9-07ae1b336d13&quot;,&quot;issued&quot;:{&quot;date-parts&quot;:[[&quot;2024&quot;]]},&quot;publisher-place&quot;:&quot;Jakarta&quot;,&quot;title&quot;:&quot;Rata-Rata Konsumsi per Kapita Seminggu Beberapa Macam Bahan Makanan Penting&quot;,&quot;type&quot;:&quot;report&quot;,&quot;container-title-short&quot;:&quot;&quot;},&quot;uris&quot;:[&quot;http://www.mendeley.com/documents/?uuid=123ba21c-6a62-4aa1-b20c-72b4d534b145&quot;],&quot;isTemporary&quot;:false,&quot;legacyDesktopId&quot;:&quot;123ba21c-6a62-4aa1-b20c-72b4d534b145&quot;}]},{&quot;citationID&quot;:&quot;MENDELEY_CITATION_0ed809d6-9352-441a-a4a2-609e003871ef&quot;,&quot;properties&quot;:{&quot;noteIndex&quot;:0},&quot;isEdited&quot;:false,&quot;manualOverride&quot;:{&quot;citeprocText&quot;:&quot;[5]&quot;,&quot;isManuallyOverridden&quot;:false,&quot;manualOverrideText&quot;:&quot;&quot;},&quot;citationTag&quot;:&quot;MENDELEY_CITATION_v3_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&quot;,&quot;citationItems&quot;:[{&quot;id&quot;:&quot;a3d56fe4-04b5-548f-9579-00d7b7b26565&quot;,&quot;itemData&quot;:{&quot;DOI&quot;:&quot;10.32795/widyakesehatan.v2i1.609&quot;,&quot;abstract&quot;:&quot;Tempe merupakan produk olahan kedelai yang terbentuk atas jasa kapang jenis Rhizopus sp. terutama dari spesies Rhizopus oligosporus, melalui proses fermentasi. Produk tradisional ini sangat bermanfaat bagi kesehatan karena mengandung zat-zat gizi esensial (karbohidrat, protein, lemak, vitamin dan mineral) dan senyawa-senyawa bioaktif yang unggul seperti vitamin B12, antidiare, antikanker, penurun kolesterol jahat, dan antioksidan dalam bentuk isoflavon (daidzein, glisitein, genistein dan 6,7,4 trihidroksi isoflavon). Pangan fungsional ini sangat sesuai untuk dikonsumsi oleh para penderita malnutrisi. Selain itu, tempe bermanfaat untuk mengobati diare, meningkatkan sistem kekebalan tubuh, menjaga kesehatan jantung, menghambat proses penuaan, menurunkan berat badan, memenuhi kebutuhan vitamin B12, mengatasi efek flatulensi, mengurangi risiko Parkinson, meningkatkan kinerja otak, menurunkan kadar kolesterol jahat, dan mencegah berbagai penyakit seperti: penyakit jantung koroner, osteoporosis, penyakit saluran pencernaan, kanker, anemia, diabetes mellitus, dan asma.&quot;,&quot;author&quot;:[{&quot;dropping-particle&quot;:&quot;&quot;,&quot;family&quot;:&quot;Aryanta&quot;,&quot;given&quot;:&quot;I wayan Redi&quot;,&quot;non-dropping-particle&quot;:&quot;&quot;,&quot;parse-names&quot;:false,&quot;suffix&quot;:&quot;&quot;}],&quot;container-title&quot;:&quot;Widya Kesehatan&quot;,&quot;id&quot;:&quot;a3d56fe4-04b5-548f-9579-00d7b7b26565&quot;,&quot;issue&quot;:&quot;1&quot;,&quot;issued&quot;:{&quot;date-parts&quot;:[[&quot;2020&quot;]]},&quot;page&quot;:&quot;44-50&quot;,&quot;title&quot;:&quot;Manfaat Tempe Untuk Kesehatan&quot;,&quot;type&quot;:&quot;article-journal&quot;,&quot;volume&quot;:&quot;2&quot;,&quot;container-title-short&quot;:&quot;&quot;},&quot;uris&quot;:[&quot;http://www.mendeley.com/documents/?uuid=60994cdf-4ad9-4ce6-a251-590a13ee4af0&quot;],&quot;isTemporary&quot;:false,&quot;legacyDesktopId&quot;:&quot;60994cdf-4ad9-4ce6-a251-590a13ee4af0&quot;}]},{&quot;citationID&quot;:&quot;MENDELEY_CITATION_ca6050ab-234d-4fd4-9af3-3700baa9b082&quot;,&quot;properties&quot;:{&quot;noteIndex&quot;:0},&quot;isEdited&quot;:false,&quot;manualOverride&quot;:{&quot;citeprocText&quot;:&quot;[6]&quot;,&quot;isManuallyOverridden&quot;:false,&quot;manualOverrideText&quot;:&quot;&quot;},&quot;citationTag&quot;:&quot;MENDELEY_CITATION_v3_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&quot;,&quot;citationItems&quot;:[{&quot;id&quot;:&quot;f978c26b-afdb-58c5-9dba-460a6d7b489a&quot;,&quot;itemData&quot;:{&quot;DOI&quot;:&quot;https://ejournal.itn.ac.id/index.php/valtech/article/view/9285&quot;,&quot;author&quot;:[{&quot;dropping-particle&quot;:&quot;&quot;,&quot;family&quot;:&quot;Cahyadi&quot;,&quot;given&quot;:&quot;Hendrik&quot;,&quot;non-dropping-particle&quot;:&quot;&quot;,&quot;parse-names&quot;:false,&quot;suffix&quot;:&quot;&quot;},{&quot;dropping-particle&quot;:&quot;&quot;,&quot;family&quot;:&quot;Ruwana&quot;,&quot;given&quot;:&quot;Iftitah&quot;,&quot;non-dropping-particle&quot;:&quot;&quot;,&quot;parse-names&quot;:false,&quot;suffix&quot;:&quot;&quot;},{&quot;dropping-particle&quot;:&quot;&quot;,&quot;family&quot;:&quot;Sari&quot;,&quot;given&quot;:&quot;Sanny Andjar&quot;,&quot;non-dropping-particle&quot;:&quot;&quot;,&quot;parse-names&quot;:false,&quot;suffix&quot;:&quot;&quot;}],&quot;container-title&quot;:&quot;Jurnal Valtech&quot;,&quot;id&quot;:&quot;f978c26b-afdb-58c5-9dba-460a6d7b489a&quot;,&quot;issue&quot;:&quot;1&quot;,&quot;issued&quot;:{&quot;date-parts&quot;:[[&quot;2024&quot;]]},&quot;title&quot;:&quot;Analisis Persediaan Kedelai Sebagai Bahan Baku Tempe Dengan Metode Economic Order Quantity Pada Umkm X&quot;,&quot;type&quot;:&quot;article-journal&quot;,&quot;volume&quot;:&quot;7&quot;,&quot;container-title-short&quot;:&quot;&quot;},&quot;uris&quot;:[&quot;http://www.mendeley.com/documents/?uuid=638be318-dc47-49b4-8618-fd0c9fccbf74&quot;],&quot;isTemporary&quot;:false,&quot;legacyDesktopId&quot;:&quot;638be318-dc47-49b4-8618-fd0c9fccbf74&quot;}]},{&quot;citationID&quot;:&quot;MENDELEY_CITATION_ebed71f2-5411-492b-af1b-00ee9afb2676&quot;,&quot;properties&quot;:{&quot;noteIndex&quot;:0},&quot;isEdited&quot;:false,&quot;manualOverride&quot;:{&quot;citeprocText&quot;:&quot;[7]&quot;,&quot;isManuallyOverridden&quot;:false,&quot;manualOverrideText&quot;:&quot;&quot;},&quot;citationTag&quot;:&quot;MENDELEY_CITATION_v3_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&quot;,&quot;citationItems&quot;:[{&quot;id&quot;:&quot;2505bb37-c61b-5f6c-9626-fa75b6b9ceef&quot;,&quot;itemData&quot;:{&quot;ISBN&quot;:&quot;978-602-53004-0-0&quot;,&quot;PMID&quot;:&quot;393&quot;,&quot;abstract&quot;:&quot;Manajemen rantai pasok memiliki peran yang sangat penting dalam menjaga keberlanjutan sebuah usaha, termasuk pada produksi\ntempe di Desa Pliken, Kecamatan Kembaran, Banyumas, yang sangat bergantung pada bahan baku kedelai impor. Ketergantungan ini\nmenghadirkan tantangan seperti fluktuasi harga, keterlambatan pengiriman, dan tingginya biaya penyimpanan yang seringkali menjadi\nkendala bagi produsen tempe skala kecil. Penelitian ini bertujuan untuk menganalisis efisiensi manajemen rantai pasok kedelai\nmenggunakan pendekatan Economic Order Quantity (EOQ). Data dikumpulkan melalui wawancara dan observasi langsung pada\nprodusen tempe di Desa Pliken. Hasil analisis EOQ menunjukkan kuantitas pemesanan optimal sebesar 1.063 kg per pesanan, dengan\nfrekuensi pemesanan sebanyak 14 kali per tahun. Safety stock yang diperlukan adalah 3,3 kg, dengan reorder point sebesar 43,3 kg.\nPenerapan metode EOQ berhasil menekan total biaya persediaan menjadi Rp 1.356.233 per tahun, sehingga mampu meningkatkan\nefisiensi rantai pasok dan menjaga stabilitas produksi. Penelitian ini merekomendasikan jadwal pemesanan berbasis EOQ serta\npenyediaan safety stock untuk mengurangi risiko gangguan produksi. Hasil ini diharapkan menjadi panduan bagi produsen tempe dalam\nmeningkatkan efisiensi operasional dan keberlanjutan usaha&quot;,&quot;author&quot;:[{&quot;dropping-particle&quot;:&quot;&quot;,&quot;family&quot;:&quot;Dewi&quot;,&quot;given&quot;:&quot;Citra Kumala&quot;,&quot;non-dropping-particle&quot;:&quot;&quot;,&quot;parse-names&quot;:false,&quot;suffix&quot;:&quot;&quot;},{&quot;dropping-particle&quot;:&quot;&quot;,&quot;family&quot;:&quot;Rimbun&quot;,&quot;given&quot;:&quot;Christian Hanly&quot;,&quot;non-dropping-particle&quot;:&quot;&quot;,&quot;parse-names&quot;:false,&quot;suffix&quot;:&quot;&quot;},{&quot;dropping-particle&quot;:&quot;&quot;,&quot;family&quot;:&quot;Adhini&quot;,&quot;given&quot;:&quot;Nadiya Salsabila&quot;,&quot;non-dropping-particle&quot;:&quot;&quot;,&quot;parse-names&quot;:false,&quot;suffix&quot;:&quot;&quot;},{&quot;dropping-particle&quot;:&quot;&quot;,&quot;family&quot;:&quot;Sipahutar&quot;,&quot;given&quot;:&quot;Daniel Adi&quot;,&quot;non-dropping-particle&quot;:&quot;&quot;,&quot;parse-names&quot;:false,&quot;suffix&quot;:&quot;&quot;},{&quot;dropping-particle&quot;:&quot;&quot;,&quot;family&quot;:&quot;Anwar&quot;,&quot;given&quot;:&quot;Toni&quot;,&quot;non-dropping-particle&quot;:&quot;&quot;,&quot;parse-names&quot;:false,&quot;suffix&quot;:&quot;&quot;}],&quot;container-title&quot;:&quot;CENTIVE: Conference on Electrical Engineering, Informatics, Industrial Technology, and Creative Media 2024&quot;,&quot;id&quot;:&quot;2505bb37-c61b-5f6c-9626-fa75b6b9ceef&quot;,&quot;issue&quot;:&quot;1&quot;,&quot;issued&quot;:{&quot;date-parts&quot;:[[&quot;2024&quot;]]},&quot;page&quot;:&quot;1124-1132&quot;,&quot;title&quot;:&quot;Optimasi Manajemen Rantai Pasok Tempe Dengan Pendekatan Eoq Di Desa Pliken Banyumas&quot;,&quot;type&quot;:&quot;article-journal&quot;,&quot;volume&quot;:&quot;4&quot;,&quot;container-title-short&quot;:&quot;&quot;},&quot;uris&quot;:[&quot;http://www.mendeley.com/documents/?uuid=0f50be1b-60a2-4a0b-bec2-26257806fb2f&quot;],&quot;isTemporary&quot;:false,&quot;legacyDesktopId&quot;:&quot;0f50be1b-60a2-4a0b-bec2-26257806fb2f&quot;}]},{&quot;citationID&quot;:&quot;MENDELEY_CITATION_46cab797-0003-4e8b-a52a-454af9915186&quot;,&quot;properties&quot;:{&quot;noteIndex&quot;:0},&quot;isEdited&quot;:false,&quot;manualOverride&quot;:{&quot;citeprocText&quot;:&quot;[8]&quot;,&quot;isManuallyOverridden&quot;:false,&quot;manualOverrideText&quot;:&quot;&quot;},&quot;citationTag&quot;:&quot;MENDELEY_CITATION_v3_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&quot;,&quot;citationItems&quot;:[{&quot;id&quot;:&quot;b6a0a1ea-6ba5-50a0-b588-d9121c85463b&quot;,&quot;itemData&quot;:{&quot;DOI&quot;:&quot;https://doi.org/10.35508/jom.v16i3.12633&quot;,&quot;author&quot;:[{&quot;dropping-particle&quot;:&quot;&quot;,&quot;family&quot;:&quot;Nyoko&quot;,&quot;given&quot;:&quot;Antonio E.L.&quot;,&quot;non-dropping-particle&quot;:&quot;&quot;,&quot;parse-names&quot;:false,&quot;suffix&quot;:&quot;&quot;},{&quot;dropping-particle&quot;:&quot;&quot;,&quot;family&quot;:&quot;Fanggidae&quot;,&quot;given&quot;:&quot;Ronald P.C.&quot;,&quot;non-dropping-particle&quot;:&quot;&quot;,&quot;parse-names&quot;:false,&quot;suffix&quot;:&quot;&quot;},{&quot;dropping-particle&quot;:&quot;&quot;,&quot;family&quot;:&quot;Marawali&quot;,&quot;given&quot;:&quot;Yohanes Y.&quot;,&quot;non-dropping-particle&quot;:&quot;&quot;,&quot;parse-names&quot;:false,&quot;suffix&quot;:&quot;&quot;}],&quot;container-title&quot;:&quot;Journal of Management Small and Medium Enterprises (SME's)&quot;,&quot;id&quot;:&quot;b6a0a1ea-6ba5-50a0-b588-d9121c85463b&quot;,&quot;issue&quot;:&quot;3&quot;,&quot;issued&quot;:{&quot;date-parts&quot;:[[&quot;2023&quot;]]},&quot;page&quot;:&quot;1-11&quot;,&quot;title&quot;:&quot;The Forecasting of Raw Material Inventory in Support of The Continuity Production Process&quot;,&quot;type&quot;:&quot;article-journal&quot;,&quot;volume&quot;:&quot;16&quot;,&quot;container-title-short&quot;:&quot;&quot;},&quot;uris&quot;:[&quot;http://www.mendeley.com/documents/?uuid=f18df11f-c562-469d-a5bd-79919b10ab45&quot;],&quot;isTemporary&quot;:false,&quot;legacyDesktopId&quot;:&quot;f18df11f-c562-469d-a5bd-79919b10ab45&quot;}]},{&quot;citationID&quot;:&quot;MENDELEY_CITATION_cee4db8c-2738-43ea-83be-42fd0c471166&quot;,&quot;properties&quot;:{&quot;noteIndex&quot;:0},&quot;isEdited&quot;:false,&quot;manualOverride&quot;:{&quot;citeprocText&quot;:&quot;[9]&quot;,&quot;isManuallyOverridden&quot;:false,&quot;manualOverrideText&quot;:&quot;&quot;},&quot;citationTag&quot;:&quot;MENDELEY_CITATION_v3_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&quot;,&quot;citationItems&quot;:[{&quot;id&quot;:&quot;5d43b838-34b5-567c-91ba-e55c0508f29b&quot;,&quot;itemData&quot;:{&quot;DOI&quot;:&quot;https://doi.org/10.58217/jubisma.v6i1.142&quot;,&quot;author&quot;:[{&quot;dropping-particle&quot;:&quot;&quot;,&quot;family&quot;:&quot;Ramadhani&quot;,&quot;given&quot;:&quot;Aldi&quot;,&quot;non-dropping-particle&quot;:&quot;&quot;,&quot;parse-names&quot;:false,&quot;suffix&quot;:&quot;&quot;},{&quot;dropping-particle&quot;:&quot;&quot;,&quot;family&quot;:&quot;Gazali&quot;,&quot;given&quot;:&quot;&quot;,&quot;non-dropping-particle&quot;:&quot;&quot;,&quot;parse-names&quot;:false,&quot;suffix&quot;:&quot;&quot;},{&quot;dropping-particle&quot;:&quot;&quot;,&quot;family&quot;:&quot;Basuki&quot;,&quot;given&quot;:&quot;Sucipto&quot;,&quot;non-dropping-particle&quot;:&quot;&quot;,&quot;parse-names&quot;:false,&quot;suffix&quot;:&quot;&quot;}],&quot;container-title&quot;:&quot;JUBISMA: Jurnal Bisnis Manajemen dan Akuntansi&quot;,&quot;id&quot;:&quot;5d43b838-34b5-567c-91ba-e55c0508f29b&quot;,&quot;issue&quot;:&quot;1&quot;,&quot;issued&quot;:{&quot;date-parts&quot;:[[&quot;2024&quot;]]},&quot;title&quot;:&quot;Pengaruh Perencanan Produksi dan Persediaan Bahan Baku terhadap Hasil Produksi pada PT Victory Offset Prima&quot;,&quot;type&quot;:&quot;article-journal&quot;,&quot;volume&quot;:&quot;6&quot;,&quot;container-title-short&quot;:&quot;&quot;},&quot;uris&quot;:[&quot;http://www.mendeley.com/documents/?uuid=6129cde7-da07-42ee-a4c2-3d79671507aa&quot;],&quot;isTemporary&quot;:false,&quot;legacyDesktopId&quot;:&quot;6129cde7-da07-42ee-a4c2-3d79671507aa&quot;}]},{&quot;citationID&quot;:&quot;MENDELEY_CITATION_c6e83f22-cf75-411f-87ed-b7bae1760fca&quot;,&quot;properties&quot;:{&quot;noteIndex&quot;:0},&quot;isEdited&quot;:false,&quot;manualOverride&quot;:{&quot;citeprocText&quot;:&quot;[10]&quot;,&quot;isManuallyOverridden&quot;:false,&quot;manualOverrideText&quot;:&quot;&quot;},&quot;citationTag&quot;:&quot;MENDELEY_CITATION_v3_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&quot;,&quot;citationItems&quot;:[{&quot;id&quot;:&quot;12ef0461-b4b4-5d5b-9b0f-c752cc1f692c&quot;,&quot;itemData&quot;:{&quot;DOI&quot;:&quot;https://doi.org/10.55606/jurritek.v2i2.2566&quot;,&quot;author&quot;:[{&quot;dropping-particle&quot;:&quot;&quot;,&quot;family&quot;:&quot;Syamsiah&quot;,&quot;given&quot;:&quot;Yuliatin Ali&quot;,&quot;non-dropping-particle&quot;:&quot;&quot;,&quot;parse-names&quot;:false,&quot;suffix&quot;:&quot;&quot;},{&quot;dropping-particle&quot;:&quot;&quot;,&quot;family&quot;:&quot;Donoriyanto&quot;,&quot;given&quot;:&quot;Dwi Sukma&quot;,&quot;non-dropping-particle&quot;:&quot;&quot;,&quot;parse-names&quot;:false,&quot;suffix&quot;:&quot;&quot;},{&quot;dropping-particle&quot;:&quot;&quot;,&quot;family&quot;:&quot;Nugraha&quot;,&quot;given&quot;:&quot;Isna&quot;,&quot;non-dropping-particle&quot;:&quot;&quot;,&quot;parse-names&quot;:false,&quot;suffix&quot;:&quot;&quot;}],&quot;container-title&quot;:&quot;Jurnal Riset Rumpun Ilmu Teknik (JURRITEK)&quot;,&quot;id&quot;:&quot;12ef0461-b4b4-5d5b-9b0f-c752cc1f692c&quot;,&quot;issue&quot;:&quot;2&quot;,&quot;issued&quot;:{&quot;date-parts&quot;:[[&quot;2023&quot;]]},&quot;title&quot;:&quot;Pengendalian Risiko dan Optimalisasi Persediaan Bahan Baku pada Usaha Kecil : Pendekatan Metode FMEA dan EOQ Yuliatin Ali Syamsiah Nasional “ Veteran ” Jawa Timur Dwi Sukma Donoriyanto Program Studi Teknik Industri , Fakultas Teknik dan Sains , Universita&quot;,&quot;type&quot;:&quot;article-journal&quot;,&quot;volume&quot;:&quot;2&quot;,&quot;container-title-short&quot;:&quot;&quot;},&quot;uris&quot;:[&quot;http://www.mendeley.com/documents/?uuid=9910fce2-7bbb-4c81-b94e-5e86c1676d21&quot;],&quot;isTemporary&quot;:false,&quot;legacyDesktopId&quot;:&quot;9910fce2-7bbb-4c81-b94e-5e86c1676d21&quot;}]},{&quot;citationID&quot;:&quot;MENDELEY_CITATION_1b2a9067-08ea-4dc4-a0cc-cb083c91900e&quot;,&quot;properties&quot;:{&quot;noteIndex&quot;:0},&quot;isEdited&quot;:false,&quot;manualOverride&quot;:{&quot;citeprocText&quot;:&quot;[11]&quot;,&quot;isManuallyOverridden&quot;:false,&quot;manualOverrideText&quot;:&quot;&quot;},&quot;citationTag&quot;:&quot;MENDELEY_CITATION_v3_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&quot;,&quot;citationItems&quot;:[{&quot;id&quot;:&quot;7cea7763-8e9a-5803-b6fd-17103e12590f&quot;,&quot;itemData&quot;:{&quot;DOI&quot;:&quot;https://doi.org/10.59188/jurnalsostech.v4i9.2802&quot;,&quot;author&quot;:[{&quot;dropping-particle&quot;:&quot;&quot;,&quot;family&quot;:&quot;Mulya&quot;,&quot;given&quot;:&quot;Ferdy Rahmat&quot;,&quot;non-dropping-particle&quot;:&quot;&quot;,&quot;parse-names&quot;:false,&quot;suffix&quot;:&quot;&quot;},{&quot;dropping-particle&quot;:&quot;&quot;,&quot;family&quot;:&quot;Sutopo&quot;,&quot;given&quot;:&quot;Prihantoro Syahdu&quot;,&quot;non-dropping-particle&quot;:&quot;&quot;,&quot;parse-names&quot;:false,&quot;suffix&quot;:&quot;&quot;}],&quot;container-title&quot;:&quot;Jurnal Sosial dan Teknologi (SOSTECH)&quot;,&quot;id&quot;:&quot;7cea7763-8e9a-5803-b6fd-17103e12590f&quot;,&quot;issue&quot;:&quot;9&quot;,&quot;issued&quot;:{&quot;date-parts&quot;:[[&quot;2024&quot;]]},&quot;page&quot;:&quot;776-794&quot;,&quot;title&quot;:&quot;Meningkatkan Kualitas Persediaan Duplek dengan Metode Economic Order Quantity (EOQ) di PT. ABCD&quot;,&quot;type&quot;:&quot;article-journal&quot;,&quot;volume&quot;:&quot;4&quot;,&quot;container-title-short&quot;:&quot;&quot;},&quot;uris&quot;:[&quot;http://www.mendeley.com/documents/?uuid=71a8e0f4-66e9-407c-ae95-c2206a18a253&quot;],&quot;isTemporary&quot;:false,&quot;legacyDesktopId&quot;:&quot;71a8e0f4-66e9-407c-ae95-c2206a18a253&quot;}]},{&quot;citationID&quot;:&quot;MENDELEY_CITATION_7b1bdce2-1bd3-49e2-85f4-3f75497524aa&quot;,&quot;properties&quot;:{&quot;noteIndex&quot;:0},&quot;isEdited&quot;:false,&quot;manualOverride&quot;:{&quot;isManuallyOverridden&quot;:false,&quot;citeprocText&quot;:&quot;[12]&quot;,&quot;manualOverrideText&quot;:&quot;&quot;},&quot;citationTag&quot;:&quot;MENDELEY_CITATION_v3_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&quot;,&quot;citationItems&quot;:[{&quot;id&quot;:&quot;2931a9d1-78fd-3090-b648-72dc21836137&quot;,&quot;itemData&quot;:{&quot;type&quot;:&quot;article-journal&quot;,&quot;id&quot;:&quot;2931a9d1-78fd-3090-b648-72dc21836137&quot;,&quot;title&quot;:&quot;Optimizing Inventory Management: A Comprehensive Analysis of Economic Order Quantity, Lot Size, Safety Stock, and Reordering Quantity Strategies&quot;,&quot;author&quot;:[{&quot;family&quot;:&quot;Siraj&quot;,&quot;given&quot;:&quot;Mahrukh&quot;,&quot;parse-names&quot;:false,&quot;dropping-particle&quot;:&quot;&quot;,&quot;non-dropping-particle&quot;:&quot;&quot;},{&quot;family&quot;:&quot;Naseem&quot;,&quot;given&quot;:&quot;Asad&quot;,&quot;parse-names&quot;:false,&quot;dropping-particle&quot;:&quot;&quot;,&quot;non-dropping-particle&quot;:&quot;&quot;},{&quot;family&quot;:&quot;Maryam&quot;,&quot;given&quot;:&quot;Muttahira&quot;,&quot;parse-names&quot;:false,&quot;dropping-particle&quot;:&quot;&quot;,&quot;non-dropping-particle&quot;:&quot;&quot;},{&quot;family&quot;:&quot;Asad&quot;,&quot;given&quot;:&quot;Javeria&quot;,&quot;parse-names&quot;:false,&quot;dropping-particle&quot;:&quot;&quot;,&quot;non-dropping-particle&quot;:&quot;&quot;}],&quot;container-title&quot;:&quot;Journal of Business Administration and Management Sciences (JOBAMS)&quot;,&quot;DOI&quot;:&quot;10.58921/jobams.6.1.123&quot;,&quot;ISSN&quot;:&quot;2518-8275&quot;,&quot;issued&quot;:{&quot;date-parts&quot;:[[2024,6,30]]},&quot;page&quot;:&quot;8-16&quot;,&quot;abstract&quot;:&quot;Inventory management plays a critical role in business operations by ensuring efficient organization to avoid overtime costs, production rate fluctuations, unnecessary subcontracting, high deal expenditures, and delayed purchase penalties during peak demand periods. This study aims to leverage insights from inventory data to optimize lot sizes for materials procured from vendors, aligning them with the firm's capacity. It also addresses safety stock, maximum inventory level, and reorder quantity. The application of Economic Order Quantity (EOQ) models has proven beneficial across various sectors like marketing, automotive, pharmaceuticals, and retail, offering a comprehensive solution in a simplified format to understand inventory system dynamics. This model enables a straightforward calculation of the most cost-effective order quantity, benefiting both retailers and distribution centers by minimizing overall expenses.&quot;,&quot;publisher&quot;:&quot;Sindh Madressatul Islam University&quot;,&quot;issue&quot;:&quot;1&quot;,&quot;volume&quot;:&quot;6&quot;,&quot;container-title-short&quot;:&quot;&quot;},&quot;isTemporary&quot;:false}]},{&quot;citationID&quot;:&quot;MENDELEY_CITATION_8591583a-ab16-4734-8e0b-d003cfbeb74b&quot;,&quot;properties&quot;:{&quot;noteIndex&quot;:0},&quot;isEdited&quot;:false,&quot;manualOverride&quot;:{&quot;isManuallyOverridden&quot;:false,&quot;citeprocText&quot;:&quot;[13]&quot;,&quot;manualOverrideText&quot;:&quot;&quot;},&quot;citationTag&quot;:&quot;MENDELEY_CITATION_v3_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&quot;,&quot;citationItems&quot;:[{&quot;id&quot;:&quot;ca556d61-db45-31e4-99b6-11b5301e5b53&quot;,&quot;itemData&quot;:{&quot;type&quot;:&quot;article-journal&quot;,&quot;id&quot;:&quot;ca556d61-db45-31e4-99b6-11b5301e5b53&quot;,&quot;title&quot;:&quot;The Current Status of Lean Manufacturing in Small, Medium and Large Scale Manufacturing Companies of Karachi, Pakistan&quot;,&quot;author&quot;:[{&quot;family&quot;:&quot;Wassan&quot;,&quot;given&quot;:&quot;Rano Khan&quot;,&quot;parse-names&quot;:false,&quot;dropping-particle&quot;:&quot;&quot;,&quot;non-dropping-particle&quot;:&quot;&quot;},{&quot;family&quot;:&quot;Khan&quot;,&quot;given&quot;:&quot;Muhammad Talha&quot;,&quot;parse-names&quot;:false,&quot;dropping-particle&quot;:&quot;&quot;,&quot;non-dropping-particle&quot;:&quot;&quot;},{&quot;family&quot;:&quot;Chandio&quot;,&quot;given&quot;:&quot;Ghulam Sarwar&quot;,&quot;parse-names&quot;:false,&quot;dropping-particle&quot;:&quot;&quot;,&quot;non-dropping-particle&quot;:&quot;&quot;},{&quot;family&quot;:&quot;Haider&quot;,&quot;given&quot;:&quot;Yaseen&quot;,&quot;parse-names&quot;:false,&quot;dropping-particle&quot;:&quot;&quot;,&quot;non-dropping-particle&quot;:&quot;&quot;},{&quot;family&quot;:&quot;Sarwar&quot;,&quot;given&quot;:&quot;Umair&quot;,&quot;parse-names&quot;:false,&quot;dropping-particle&quot;:&quot;&quot;,&quot;non-dropping-particle&quot;:&quot;&quot;},{&quot;family&quot;:&quot;Akbar&quot;,&quot;given&quot;:&quot;Ali&quot;,&quot;parse-names&quot;:false,&quot;dropping-particle&quot;:&quot;&quot;,&quot;non-dropping-particle&quot;:&quot;&quot;},{&quot;family&quot;:&quot;Umair&quot;,&quot;given&quot;:&quot;Muhammad&quot;,&quot;parse-names&quot;:false,&quot;dropping-particle&quot;:&quot;&quot;,&quot;non-dropping-particle&quot;:&quot;&quot;}],&quot;container-title&quot;:&quot;Journal of Applied Engineering Science&quot;,&quot;DOI&quot;:&quot;10.5937/jaes0-35761&quot;,&quot;ISSN&quot;:&quot;18213197&quot;,&quot;issued&quot;:{&quot;date-parts&quot;:[[2022]]},&quot;page&quot;:&quot;707-715&quot;,&quot;abstract&quot;:&quot;The major purpose of this study was to examine the current status of lean manufacturing in small, medium and large scale manufacturing companies situated in Karachi, Pakistan.The status of lean awareness, implementation, barriers and benefits in manufacturing companies were investigated through the questionnaire survey. The questionnaire was sent to 320 manufacturing companies and a response rate of 40.6% was received. SPSS 22.0 software was used to determine the average mean score for each factor and certain statistical analyses were performed to evaluate the results. It was observed that large organizations and SMEs both are fairly aware of the basic lean concepts but there is a sufficient difference in understanding of lean tools and techniques. Large organizations have a greater understanding and implementation of lean tools and techniques than SMEs. Some tools like 5S, Poka-yoke and TPM were found to have a similar status of implementation in various manufacturing companies irrespective of their size.The results of this study are applicable in Pakistani context, but could vary for other regions of the world, considering the awareness and challenges manufacturing enterprises are facing. To date there has been no research carried out in the context of large, small and medium manufacturing enterprises together in Pakistan, specifically in the Karachi region which investigate the status of lean awareness, implementation, benefits and barriers.Therefore, this study would serve as a foundation for conducting further in-depth studies on lean manufacturing in Pakistani manufacturing companies.&quot;,&quot;publisher&quot;:&quot;Institute for Educational Research&quot;,&quot;issue&quot;:&quot;3&quot;,&quot;volume&quot;:&quot;20&quot;,&quot;container-title-short&quot;:&quot;&quot;},&quot;isTemporary&quot;:false}]},{&quot;citationID&quot;:&quot;MENDELEY_CITATION_31772001-0dfd-4e2d-9dbe-15e3a25810a1&quot;,&quot;properties&quot;:{&quot;noteIndex&quot;:0},&quot;isEdited&quot;:false,&quot;manualOverride&quot;:{&quot;citeprocText&quot;:&quot;[14]&quot;,&quot;isManuallyOverridden&quot;:false,&quot;manualOverrideText&quot;:&quot;&quot;},&quot;citationTag&quot;:&quot;MENDELEY_CITATION_v3_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&quot;,&quot;citationItems&quot;:[{&quot;id&quot;:&quot;3a7b8ed8-bcfe-5166-a661-9ae4dbe67574&quot;,&quot;itemData&quot;:{&quot;DOI&quot;:&quot;10.47191/ijsshr/v4-i8-32&quot;,&quot;ISSN&quot;:&quot;26440679&quot;,&quot;abstract&quot;:&quot;The research aims to determine the optimal order quantities of raw materials using Economic Order Quantity (EOQ), the total cost of raw material inventory, reorder point, order frequency, and application of the EOQ method on the CV. XYZ Kupang in an effort to optimize inventory costs. The data used in this study consisted of primary data and secondary data both qualitatively and quantitatively related to raw material supply. Primary data were obtained through direct observation and interviews with various key respondents at CV. XYZ Kupang. Secondary data were obtained from the documents and reports from Management Company. The results of this study indicate that the optimal quantity of raw material orders at CV. XYZKupang is 63.80 m3 in 2017, 63.04 m3 in 2018, and 72.80 m3 in 2019. The total cost of the company’s raw material supply that issued if EOQ policy appliedRp. 32.267.554 in the year 2017, Rp. 24.507.185 in the year 2018, and Rp. 28.020.251 in the year 2019.CV. XYZ Kupang must perform an order back in the level of inventories of 16.74 m3 in 2017, at 10.08 m3 in 2018, and 9.82 m3 in 2019.6.90 m3 in 2017, 6.20 m3 in 2017, and 5.75 m3 in 2019. CV. XYZ Kupang had to order as many as 9 times in the year 2017, 8 times in the year 2017, and 8 times in the year 2019. Thus the number of all bookings in the year 2017 of 7.09 m3, by the year 2018 of 7.88 m3 and in the year 2019 of 9.1 m3.CV. XYZ Kupang can optimize the cost of supplies, neither order of the cost of storage. If EOQ method applied, there is a saving from the total cost of the inventory in the year 2017 is Rp. 72.523.229, by the year 2018 is Rp. 68.476.912, and in 2019 is Rp. 76.468.558.&quot;,&quot;author&quot;:[{&quot;dropping-particle&quot;:&quot;&quot;,&quot;family&quot;:&quot;Foeh&quot;,&quot;given&quot;:&quot;John EHJ.&quot;,&quot;non-dropping-particle&quot;:&quot;&quot;,&quot;parse-names&quot;:false,&quot;suffix&quot;:&quot;&quot;}],&quot;container-title&quot;:&quot;International Journal of Social Science and Human Research&quot;,&quot;id&quot;:&quot;3a7b8ed8-bcfe-5166-a661-9ae4dbe67574&quot;,&quot;issue&quot;:&quot;08&quot;,&quot;issued&quot;:{&quot;date-parts&quot;:[[&quot;2021&quot;]]},&quot;page&quot;:&quot;2181-2186&quot;,&quot;title&quot;:&quot;Application of Economic Order Quantity Method in Controlling Raw Material Inventory&quot;,&quot;type&quot;:&quot;article-journal&quot;,&quot;volume&quot;:&quot;04&quot;,&quot;container-title-short&quot;:&quot;&quot;},&quot;uris&quot;:[&quot;http://www.mendeley.com/documents/?uuid=763d738d-a7d6-410a-866a-0d283167eb4c&quot;],&quot;isTemporary&quot;:false,&quot;legacyDesktopId&quot;:&quot;763d738d-a7d6-410a-866a-0d283167eb4c&quot;}]},{&quot;citationID&quot;:&quot;MENDELEY_CITATION_0bfb232e-a2a6-4b9e-9553-229fc5e2394c&quot;,&quot;properties&quot;:{&quot;noteIndex&quot;:0},&quot;isEdited&quot;:false,&quot;manualOverride&quot;:{&quot;citeprocText&quot;:&quot;[15]&quot;,&quot;isManuallyOverridden&quot;:false,&quot;manualOverrideText&quot;:&quot;&quot;},&quot;citationTag&quot;:&quot;MENDELEY_CITATION_v3_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&quot;,&quot;citationItems&quot;:[{&quot;id&quot;:&quot;214cfdd1-3c78-5743-aa25-c424a6621a4c&quot;,&quot;itemData&quot;:{&quot;DOI&quot;:&quot;https://doi.org/10.69996/ijari.2024002&quot;,&quot;author&quot;:[{&quot;dropping-particle&quot;:&quot;&quot;,&quot;family&quot;:&quot;Kumar&quot;,&quot;given&quot;:&quot;Praveen&quot;,&quot;non-dropping-particle&quot;:&quot;&quot;,&quot;parse-names&quot;:false,&quot;suffix&quot;:&quot;&quot;},{&quot;dropping-particle&quot;:&quot;&quot;,&quot;family&quot;:&quot;Dubey&quot;,&quot;given&quot;:&quot;Sakshi&quot;,&quot;non-dropping-particle&quot;:&quot;&quot;,&quot;parse-names&quot;:false,&quot;suffix&quot;:&quot;&quot;}],&quot;id&quot;:&quot;214cfdd1-3c78-5743-aa25-c424a6621a4c&quot;,&quot;issue&quot;:&quot;1&quot;,&quot;issued&quot;:{&quot;date-parts&quot;:[[&quot;2024&quot;]]},&quot;page&quot;:&quot;7-10&quot;,&quot;title&quot;:&quot;International Journal of Advance Research and Innovation A Comprehensive Critical Analysis of the Economic Order Quantity Model in Inventory Management International Journal of Advance Research and Innovation&quot;,&quot;type&quot;:&quot;article-journal&quot;,&quot;volume&quot;:&quot;12&quot;,&quot;container-title-short&quot;:&quot;&quot;},&quot;uris&quot;:[&quot;http://www.mendeley.com/documents/?uuid=7a828620-28ee-4881-8ba7-6cf60118da7a&quot;],&quot;isTemporary&quot;:false,&quot;legacyDesktopId&quot;:&quot;7a828620-28ee-4881-8ba7-6cf60118da7a&quot;}]},{&quot;citationID&quot;:&quot;MENDELEY_CITATION_c7ab794c-39b4-4c79-b59c-1e85a71b4cce&quot;,&quot;properties&quot;:{&quot;noteIndex&quot;:0},&quot;isEdited&quot;:false,&quot;manualOverride&quot;:{&quot;isManuallyOverridden&quot;:false,&quot;citeprocText&quot;:&quot;[16]&quot;,&quot;manualOverrideText&quot;:&quot;&quot;},&quot;citationTag&quot;:&quot;MENDELEY_CITATION_v3_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&quot;,&quot;citationItems&quot;:[{&quot;id&quot;:&quot;0b37123c-4c3a-3ee1-93b9-d94bb163f636&quot;,&quot;itemData&quot;:{&quot;type&quot;:&quot;article-journal&quot;,&quot;id&quot;:&quot;0b37123c-4c3a-3ee1-93b9-d94bb163f636&quot;,&quot;title&quot;:&quot;Analisis Perbandingan Metode EOQ POQ Dalam Perencanaan Pengendalian Persediaan Retail Toko A&quot;,&quot;author&quot;:[{&quot;family&quot;:&quot;Lopenzo&quot;,&quot;given&quot;:&quot;Sanrio Febry&quot;,&quot;parse-names&quot;:false,&quot;dropping-particle&quot;:&quot;&quot;,&quot;non-dropping-particle&quot;:&quot;&quot;},{&quot;family&quot;:&quot;Jesen&quot;,&quot;given&quot;:&quot;&quot;,&quot;parse-names&quot;:false,&quot;dropping-particle&quot;:&quot;&quot;,&quot;non-dropping-particle&quot;:&quot;&quot;},{&quot;family&quot;:&quot;Syara Nasution&quot;,&quot;given&quot;:&quot;Rivara&quot;,&quot;parse-names&quot;:false,&quot;dropping-particle&quot;:&quot;&quot;,&quot;non-dropping-particle&quot;:&quot;&quot;}],&quot;container-title&quot;:&quot;Greeners: Journal of Green Engineering for Sustainability&quot;,&quot;DOI&quot;:&quot;10.63643/jges.v1i2.211&quot;,&quot;issued&quot;:{&quot;date-parts&quot;:[[2024]]},&quot;page&quot;:&quot;78-90&quot;,&quot;abstract&quot;:&quot;Toko A merupakan perusahaan yang membeli persediaan dalam jumlah besar dari supplier dan menjualnya kembali ke konsumen dalam jumlah yang lebih kecil oleh karena itu pengelolaan persediaan sangatlah penting. Cara Toko A mengelola persediaan barang di gudang masih berdasarkan intuisi. Gudang terkadang kelebihan beban akibat stok yang terlalu banyak sehingga menyebabkan barang rusak seperti kaos dan sepatu sehingga kehilangan nilainya. Tujuan dari penelitian ini adalah untuk menemukan metode perencanaan dan pengendalian persediaan yang terbaik berdasarkan Total Biaya Persediaan yang terkecil antara metode yang diterapkan perusahaan saat ini dengan Economic Order Quantity (EOQ) dan Period Order Quantity. Hasilnya menunjukkan bahwa metode pengelolaan persediaan terbaik adalah EOQ yang menghemat Rp25.068.334 untuk kategori baju dan Rp21.909.229 untuk kategori sepatu pada tahun 2021. Metode terbaik untuk mengelola persediaan pada bulan Januari hingga Maret 2022 juga adalah EOQ yang menghemat Rp1 .077.434 untuk kategori baju dan Rp254.632 untuk kategori sepatu.&quot;,&quot;issue&quot;:&quot;2&quot;,&quot;volume&quot;:&quot;1&quot;,&quot;container-title-short&quot;:&quot;&quot;},&quot;isTemporary&quot;:false}]},{&quot;citationID&quot;:&quot;MENDELEY_CITATION_41320f45-87d5-441f-a3ea-789a352c54aa&quot;,&quot;properties&quot;:{&quot;noteIndex&quot;:0},&quot;isEdited&quot;:false,&quot;manualOverride&quot;:{&quot;isManuallyOverridden&quot;:false,&quot;citeprocText&quot;:&quot;[17]&quot;,&quot;manualOverrideText&quot;:&quot;&quot;},&quot;citationTag&quot;:&quot;MENDELEY_CITATION_v3_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&quot;,&quot;citationItems&quot;:[{&quot;id&quot;:&quot;c643184a-ca77-384a-8167-792009b4b55a&quot;,&quot;itemData&quot;:{&quot;type&quot;:&quot;chapter&quot;,&quot;id&quot;:&quot;c643184a-ca77-384a-8167-792009b4b55a&quot;,&quot;title&quot;:&quot;Operations Management : Recent Advances and New Perspectives&quot;,&quot;author&quot;:[{&quot;family&quot;:&quot;Mohamed&quot;,&quot;given&quot;:&quot;Ahmed Esmail&quot;,&quot;parse-names&quot;:false,&quot;dropping-particle&quot;:&quot;&quot;,&quot;non-dropping-particle&quot;:&quot;&quot;}],&quot;container-title&quot;:&quot;Operations Management - Recent Advances and New Perspectives&quot;,&quot;chapter-number&quot;:&quot;3&quot;,&quot;editor&quot;:[{&quot;family&quot;:&quot;Bányai&quot;,&quot;given&quot;:&quot;Tamás&quot;,&quot;parse-names&quot;:false,&quot;dropping-particle&quot;:&quot;&quot;,&quot;non-dropping-particle&quot;:&quot;&quot;}],&quot;issued&quot;:{&quot;date-parts&quot;:[[2024]]},&quot;page&quot;:&quot;1-14&quot;,&quot;edition&quot;:&quot;1&quot;,&quot;publisher&quot;:&quot;Intechopen&quot;,&quot;volume&quot;:&quot;1&quot;,&quot;container-title-short&quot;:&quot;&quot;},&quot;isTemporary&quot;:false}]},{&quot;citationID&quot;:&quot;MENDELEY_CITATION_1eef7b90-f260-445f-98a1-2a4cc5ae8660&quot;,&quot;properties&quot;:{&quot;noteIndex&quot;:0},&quot;isEdited&quot;:false,&quot;manualOverride&quot;:{&quot;citeprocText&quot;:&quot;[7]&quot;,&quot;isManuallyOverridden&quot;:false,&quot;manualOverrideText&quot;:&quot;&quot;},&quot;citationTag&quot;:&quot;MENDELEY_CITATION_v3_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&quot;,&quot;citationItems&quot;:[{&quot;id&quot;:&quot;2505bb37-c61b-5f6c-9626-fa75b6b9ceef&quot;,&quot;itemData&quot;:{&quot;ISBN&quot;:&quot;978-602-53004-0-0&quot;,&quot;PMID&quot;:&quot;393&quot;,&quot;abstract&quot;:&quot;Manajemen rantai pasok memiliki peran yang sangat penting dalam menjaga keberlanjutan sebuah usaha, termasuk pada produksi\ntempe di Desa Pliken, Kecamatan Kembaran, Banyumas, yang sangat bergantung pada bahan baku kedelai impor. Ketergantungan ini\nmenghadirkan tantangan seperti fluktuasi harga, keterlambatan pengiriman, dan tingginya biaya penyimpanan yang seringkali menjadi\nkendala bagi produsen tempe skala kecil. Penelitian ini bertujuan untuk menganalisis efisiensi manajemen rantai pasok kedelai\nmenggunakan pendekatan Economic Order Quantity (EOQ). Data dikumpulkan melalui wawancara dan observasi langsung pada\nprodusen tempe di Desa Pliken. Hasil analisis EOQ menunjukkan kuantitas pemesanan optimal sebesar 1.063 kg per pesanan, dengan\nfrekuensi pemesanan sebanyak 14 kali per tahun. Safety stock yang diperlukan adalah 3,3 kg, dengan reorder point sebesar 43,3 kg.\nPenerapan metode EOQ berhasil menekan total biaya persediaan menjadi Rp 1.356.233 per tahun, sehingga mampu meningkatkan\nefisiensi rantai pasok dan menjaga stabilitas produksi. Penelitian ini merekomendasikan jadwal pemesanan berbasis EOQ serta\npenyediaan safety stock untuk mengurangi risiko gangguan produksi. Hasil ini diharapkan menjadi panduan bagi produsen tempe dalam\nmeningkatkan efisiensi operasional dan keberlanjutan usaha&quot;,&quot;author&quot;:[{&quot;dropping-particle&quot;:&quot;&quot;,&quot;family&quot;:&quot;Dewi&quot;,&quot;given&quot;:&quot;Citra Kumala&quot;,&quot;non-dropping-particle&quot;:&quot;&quot;,&quot;parse-names&quot;:false,&quot;suffix&quot;:&quot;&quot;},{&quot;dropping-particle&quot;:&quot;&quot;,&quot;family&quot;:&quot;Rimbun&quot;,&quot;given&quot;:&quot;Christian Hanly&quot;,&quot;non-dropping-particle&quot;:&quot;&quot;,&quot;parse-names&quot;:false,&quot;suffix&quot;:&quot;&quot;},{&quot;dropping-particle&quot;:&quot;&quot;,&quot;family&quot;:&quot;Adhini&quot;,&quot;given&quot;:&quot;Nadiya Salsabila&quot;,&quot;non-dropping-particle&quot;:&quot;&quot;,&quot;parse-names&quot;:false,&quot;suffix&quot;:&quot;&quot;},{&quot;dropping-particle&quot;:&quot;&quot;,&quot;family&quot;:&quot;Sipahutar&quot;,&quot;given&quot;:&quot;Daniel Adi&quot;,&quot;non-dropping-particle&quot;:&quot;&quot;,&quot;parse-names&quot;:false,&quot;suffix&quot;:&quot;&quot;},{&quot;dropping-particle&quot;:&quot;&quot;,&quot;family&quot;:&quot;Anwar&quot;,&quot;given&quot;:&quot;Toni&quot;,&quot;non-dropping-particle&quot;:&quot;&quot;,&quot;parse-names&quot;:false,&quot;suffix&quot;:&quot;&quot;}],&quot;container-title&quot;:&quot;CENTIVE: Conference on Electrical Engineering, Informatics, Industrial Technology, and Creative Media 2024&quot;,&quot;id&quot;:&quot;2505bb37-c61b-5f6c-9626-fa75b6b9ceef&quot;,&quot;issue&quot;:&quot;1&quot;,&quot;issued&quot;:{&quot;date-parts&quot;:[[&quot;2024&quot;]]},&quot;page&quot;:&quot;1124-1132&quot;,&quot;title&quot;:&quot;Optimasi Manajemen Rantai Pasok Tempe Dengan Pendekatan Eoq Di Desa Pliken Banyumas&quot;,&quot;type&quot;:&quot;article-journal&quot;,&quot;volume&quot;:&quot;4&quot;,&quot;container-title-short&quot;:&quot;&quot;},&quot;uris&quot;:[&quot;http://www.mendeley.com/documents/?uuid=0f50be1b-60a2-4a0b-bec2-26257806fb2f&quot;],&quot;isTemporary&quot;:false,&quot;legacyDesktopId&quot;:&quot;0f50be1b-60a2-4a0b-bec2-26257806fb2f&quot;}]},{&quot;citationID&quot;:&quot;MENDELEY_CITATION_c937641d-a785-4bcd-80d3-b08cec497fcf&quot;,&quot;properties&quot;:{&quot;noteIndex&quot;:0},&quot;isEdited&quot;:false,&quot;manualOverride&quot;:{&quot;isManuallyOverridden&quot;:false,&quot;citeprocText&quot;:&quot;[18]&quot;,&quot;manualOverrideText&quot;:&quot;&quot;},&quot;citationTag&quot;:&quot;MENDELEY_CITATION_v3_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&quot;,&quot;citationItems&quot;:[{&quot;id&quot;:&quot;37d9e8da-a302-3ab7-9595-280711a7769d&quot;,&quot;itemData&quot;:{&quot;type&quot;:&quot;book&quot;,&quot;id&quot;:&quot;37d9e8da-a302-3ab7-9595-280711a7769d&quot;,&quot;title&quot;:&quot;Operations Management: Sustainability and Supply Chain Management&quot;,&quot;author&quot;:[{&quot;family&quot;:&quot;Heizer&quot;,&quot;given&quot;:&quot;Jay&quot;,&quot;parse-names&quot;:false,&quot;dropping-particle&quot;:&quot;&quot;,&quot;non-dropping-particle&quot;:&quot;&quot;},{&quot;family&quot;:&quot;Render&quot;,&quot;given&quot;:&quot;Barry&quot;,&quot;parse-names&quot;:false,&quot;dropping-particle&quot;:&quot;&quot;,&quot;non-dropping-particle&quot;:&quot;&quot;}],&quot;ISBN&quot;:&quot;9781292444895&quot;,&quot;URL&quot;:&quot;https://e-journals2.unmul.ac.id/index.php/jatri/article/view/2304&quot;,&quot;issued&quot;:{&quot;date-parts&quot;:[[2023]]},&quot;publisher-place&quot;:&quot;New Jersey&quot;,&quot;number-of-pages&quot;:&quot;8-9&quot;,&quot;edition&quot;:&quot;14th&quot;,&quot;publisher&quot;:&quot;Pearson Education&quot;,&quot;container-title-short&quot;:&quot;&quot;},&quot;isTemporary&quot;:false}]},{&quot;citationID&quot;:&quot;MENDELEY_CITATION_d9243bea-c2d4-4a25-839b-0ffc48770a1a&quot;,&quot;properties&quot;:{&quot;noteIndex&quot;:0},&quot;isEdited&quot;:false,&quot;manualOverride&quot;:{&quot;isManuallyOverridden&quot;:false,&quot;citeprocText&quot;:&quot;[19]&quot;,&quot;manualOverrideText&quot;:&quot;&quot;},&quot;citationTag&quot;:&quot;MENDELEY_CITATION_v3_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&quot;,&quot;citationItems&quot;:[{&quot;id&quot;:&quot;29c703f2-c2b9-36c8-a0d7-eb364323a1d5&quot;,&quot;itemData&quot;:{&quot;type&quot;:&quot;article-journal&quot;,&quot;id&quot;:&quot;29c703f2-c2b9-36c8-a0d7-eb364323a1d5&quot;,&quot;title&quot;:&quot;Analysis of Soybean Raw Material Inventory Control Using the Economic Order Quantity (EOQ) Method at the Terang Tofu Factory&quot;,&quot;author&quot;:[{&quot;family&quot;:&quot;Hadidjija&quot;,&quot;given&quot;:&quot;Kusno&quot;,&quot;parse-names&quot;:false,&quot;dropping-particle&quot;:&quot;&quot;,&quot;non-dropping-particle&quot;:&quot;&quot;},{&quot;family&quot;:&quot;Fitriana&quot;,&quot;given&quot;:&quot;Dina&quot;,&quot;parse-names&quot;:false,&quot;dropping-particle&quot;:&quot;&quot;,&quot;non-dropping-particle&quot;:&quot;&quot;},{&quot;family&quot;:&quot;Lazuardi&quot;,&quot;given&quot;:&quot;Lazuardi&quot;,&quot;parse-names&quot;:false,&quot;dropping-particle&quot;:&quot;&quot;,&quot;non-dropping-particle&quot;:&quot;&quot;}],&quot;container-title&quot;:&quot;Journal of Evrimata: Engineering and Physics&quot;,&quot;accessed&quot;:{&quot;date-parts&quot;:[[2026,10,14]]},&quot;URL&quot;:&quot;https://www.evrimata.id/index.php/EEP/article/view/68/52&quot;,&quot;issued&quot;:{&quot;date-parts&quot;:[[2025]]},&quot;page&quot;:&quot;01-06&quot;,&quot;abstract&quot;:&quot;Article Information ABSTRACT Manuscript&quot;,&quot;issue&quot;:&quot;01&quot;,&quot;volume&quot;:&quot;03&quot;,&quot;container-title-short&quot;:&quot;&quot;},&quot;isTemporary&quot;:false}]},{&quot;citationID&quot;:&quot;MENDELEY_CITATION_e07a4169-442c-4a3e-b3b7-4f825ecde8c4&quot;,&quot;properties&quot;:{&quot;noteIndex&quot;:0},&quot;isEdited&quot;:false,&quot;manualOverride&quot;:{&quot;isManuallyOverridden&quot;:false,&quot;citeprocText&quot;:&quot;[20]&quot;,&quot;manualOverrideText&quot;:&quot;&quot;},&quot;citationTag&quot;:&quot;MENDELEY_CITATION_v3_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&quot;,&quot;citationItems&quot;:[{&quot;id&quot;:&quot;9957864a-b4d4-39d6-8e52-0f46fbb49eba&quot;,&quot;itemData&quot;:{&quot;type&quot;:&quot;book&quot;,&quot;id&quot;:&quot;9957864a-b4d4-39d6-8e52-0f46fbb49eba&quot;,&quot;title&quot;:&quot;Inventory Optimization Techniques&quot;,&quot;author&quot;:[{&quot;family&quot;:&quot;Anwar&quot;,&quot;given&quot;:&quot;Ibrahim&quot;,&quot;parse-names&quot;:false,&quot;dropping-particle&quot;:&quot;&quot;,&quot;non-dropping-particle&quot;:&quot;&quot;}],&quot;issued&quot;:{&quot;date-parts&quot;:[[2025]]},&quot;publisher-place&quot;:&quot;Bogor, Indonesia&quot;,&quot;edition&quot;:&quot;1&quot;,&quot;publisher&quot;:&quot; PT Hibrkraft Kreasi Indonesia&quot;,&quot;volume&quot;:&quot;1&quot;,&quot;container-title-short&quot;:&quot;&quot;},&quot;isTemporary&quot;:false}]},{&quot;citationID&quot;:&quot;MENDELEY_CITATION_2e024b34-bdbe-4077-aaf4-b017d9846f7d&quot;,&quot;properties&quot;:{&quot;noteIndex&quot;:0},&quot;isEdited&quot;:false,&quot;manualOverride&quot;:{&quot;isManuallyOverridden&quot;:false,&quot;citeprocText&quot;:&quot;[21]&quot;,&quot;manualOverrideText&quot;:&quot;&quot;},&quot;citationTag&quot;:&quot;MENDELEY_CITATION_v3_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&quot;,&quot;citationItems&quot;:[{&quot;id&quot;:&quot;f2e41f0f-71bf-37bd-8574-fd90c6122370&quot;,&quot;itemData&quot;:{&quot;type&quot;:&quot;article-journal&quot;,&quot;id&quot;:&quot;f2e41f0f-71bf-37bd-8574-fd90c6122370&quot;,&quot;title&quot;:&quot;Simultaneous planning of purchase orders, production, and inventory management under demand uncertainty&quot;,&quot;author&quot;:[{&quot;family&quot;:&quot;Zamani Dadaneh&quot;,&quot;given&quot;:&quot;Dariush&quot;,&quot;parse-names&quot;:false,&quot;dropping-particle&quot;:&quot;&quot;,&quot;non-dropping-particle&quot;:&quot;&quot;},{&quot;family&quot;:&quot;Moradi&quot;,&quot;given&quot;:&quot;Sajad&quot;,&quot;parse-names&quot;:false,&quot;dropping-particle&quot;:&quot;&quot;,&quot;non-dropping-particle&quot;:&quot;&quot;},{&quot;family&quot;:&quot;Alizadeh&quot;,&quot;given&quot;:&quot;Behrooz&quot;,&quot;parse-names&quot;:false,&quot;dropping-particle&quot;:&quot;&quot;,&quot;non-dropping-particle&quot;:&quot;&quot;}],&quot;container-title&quot;:&quot;International Journal of Production Economics&quot;,&quot;container-title-short&quot;:&quot;Int. J. Prod. Econ.&quot;,&quot;DOI&quot;:&quot;10.1016/j.ijpe.2023.109012&quot;,&quot;ISSN&quot;:&quot;09255273&quot;,&quot;issued&quot;:{&quot;date-parts&quot;:[[2023,11,1]]},&quot;abstract&quot;:&quot;This paper focuses on the issues of the purchase of bill of materials, production planning, and inventory management in materials and products warehouses under demand uncertainty, simultaneously. The purpose of this study is to determine the optimal volume of purchasing the raw materials from different vendors, transportation methods, and production planning over the time horizon so that with proper inventory management in the warehouses of materials and manufactured products, the total cost is minimized. This issue is defined as a multi-region, multi-supplier, multi-component, multi-product, and multi-period problem. There is a time interval between ordering and delivering the bill of materials, which depends on the region where the supplier is located. Customer demands are not predetermined, and robust optimization is employed to handle this uncertainty. Three numerical examples, based on increasing or decreasing the nominal customer demands, are presented to evaluate the robustness of the solutions and to examine the effect of conservatism level on the performance of the proposed model. Finally, the price and importance of proposed robust planning are evaluated based on random data.&quot;,&quot;publisher&quot;:&quot;Elsevier B.V.&quot;,&quot;volume&quot;:&quot;265&quot;},&quot;isTemporary&quot;:false}]},{&quot;citationID&quot;:&quot;MENDELEY_CITATION_5a5e8ec0-1dff-4a32-ba3a-ac53f812ade6&quot;,&quot;properties&quot;:{&quot;noteIndex&quot;:0},&quot;isEdited&quot;:false,&quot;manualOverride&quot;:{&quot;citeprocText&quot;:&quot;[22]&quot;,&quot;isManuallyOverridden&quot;:false,&quot;manualOverrideText&quot;:&quot;&quot;},&quot;citationTag&quot;:&quot;MENDELEY_CITATION_v3_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&quot;,&quot;citationItems&quot;:[{&quot;id&quot;:&quot;6fa9fbdb-2db2-5b40-8965-d42766807856&quot;,&quot;itemData&quot;:{&quot;abstract&quot;:&quot;XYZ merupakan perusahaan yang bergerak dalam produksi briket batu bara yang bahan baku utama produksinya adalah tempurung kelapa. Tempurung kelapa yang digunakan terdiri dari tiga jenis yaitu tempurung Sulawesi, tempurung jambi, dan tempurung purworejo. Selama ini perusahaan masih menggunakan metode sederhana dalam pengadaan persediaannya dimana pemesanan bahan baku baru akan dilakukan jika persediaan di gudang sudah habis. Hal ini diketahui beberapa kali menyebabkan pengiriman produk ke konsumen tertunda dan perusahaan menerima complain customer. Metode EOQ merupakan sebuah metode yang mudah digunakan dan diaplikasikan untuk merencanakan pembelian bahan baku dan menentukan kuantitas pembelian bahan baku. Hasil perhitungan menunjukkan bahwa perusahaan harus melakukan pemesanan bahan baku kembali (reorder point) ke supplier saat jumlah persediaan tempurung Sulawesi tersisa 31,78kg, tempurung Jambi 34.07kg, dan tempurung Purworejo 33.98kg dengan tingkat safety stock masing-masing tempurung kelapa yaitu 10,5kg, 19,37kg dan 17,32kg. Adapun penghematan biaya persediaan sebelum dan setelah EOQ adalah sebesar 3% atau Rp.225.240.&quot;,&quot;author&quot;:[{&quot;dropping-particle&quot;:&quot;&quot;,&quot;family&quot;:&quot;Rusnita&quot;,&quot;given&quot;:&quot;E&quot;,&quot;non-dropping-particle&quot;:&quot;&quot;,&quot;parse-names&quot;:false,&quot;suffix&quot;:&quot;&quot;}],&quot;container-title&quot;:&quot;Prosiding Seminar Nasional Teknik Industri&quot;,&quot;id&quot;:&quot;6fa9fbdb-2db2-5b40-8965-d42766807856&quot;,&quot;issue&quot;:&quot;1&quot;,&quot;issued&quot;:{&quot;date-parts&quot;:[[&quot;2023&quot;]]},&quot;page&quot;:&quot;517-526&quot;,&quot;title&quot;:&quot;Analisis Biaya Pemesanan Material dengan Metode Economic Order Quantity (EOQ) di PT. XYZ&quot;,&quot;type&quot;:&quot;article-journal&quot;,&quot;volume&quot;:&quot;1&quot;,&quot;container-title-short&quot;:&quot;&quot;},&quot;uris&quot;:[&quot;http://www.mendeley.com/documents/?uuid=fb4fde37-e9e7-487f-85fa-2ba57aef0f5c&quot;],&quot;isTemporary&quot;:false,&quot;legacyDesktopId&quot;:&quot;fb4fde37-e9e7-487f-85fa-2ba57aef0f5c&quot;}]},{&quot;citationID&quot;:&quot;MENDELEY_CITATION_5a229717-4519-4d92-b61b-3de0c1a6d725&quot;,&quot;properties&quot;:{&quot;noteIndex&quot;:0},&quot;isEdited&quot;:false,&quot;manualOverride&quot;:{&quot;citeprocText&quot;:&quot;[23]&quot;,&quot;isManuallyOverridden&quot;:false,&quot;manualOverrideText&quot;:&quot;&quot;},&quot;citationTag&quot;:&quot;MENDELEY_CITATION_v3_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&quot;,&quot;citationItems&quot;:[{&quot;id&quot;:&quot;f1afad9a-a659-52cf-af80-1f75aa00496b&quot;,&quot;itemData&quot;:{&quot;DOI&quot;:&quot;10.3390/su16145965&quot;,&quot;ISSN&quot;:&quot;20711050&quot;,&quot;abstract&quot;:&quot;Inventory management is crucial for companies to minimize unnecessary costs associated with overstocking or understocking items. Utilizing the economic order quantity (EOQ) to minimize total costs is a key decision in inventory management, particularly in achieving a sustainable supply chain. The classical EOQ formula is rarely applicable in practice. For example, suppliers may enforce a minimum order quantity (MOQ) that is much larger than the EOQ. Some conditions such as imperfect quality and growing items represent variants of EOQ. Moreover, some requirements, such as the reduction of CO2 emissions, can alter the formula. Moreover, disruptions in the supply chain, such as COVID-19, can affect the formula. This study investigates which requirements must be considered during the calculation of the EOQ. Based on a literature review, 18 requirements that could alter the EOQ formula were identified. The level of coverage for these requirements has been tracked in the literature. Research gaps were presented to be investigated in future research. The analysis revealed that, despite their importance, at least 11 requirements have seldom been explored in the literature. Among these, topics such as EOQ in Industry 4.0, practical EOQ, and resilient EOQ have been identified as promising areas for future research.&quot;,&quot;author&quot;:[{&quot;dropping-particle&quot;:&quot;&quot;,&quot;family&quot;:&quot;Alnahhal&quot;,&quot;given&quot;:&quot;Mohammed&quot;,&quot;non-dropping-particle&quot;:&quot;&quot;,&quot;parse-names&quot;:false,&quot;suffix&quot;:&quot;&quot;},{&quot;dropping-particle&quot;:&quot;&quot;,&quot;family&quot;:&quot;Aylak&quot;,&quot;given&quot;:&quot;Batin Latif&quot;,&quot;non-dropping-particle&quot;:&quot;&quot;,&quot;parse-names&quot;:false,&quot;suffix&quot;:&quot;&quot;},{&quot;dropping-particle&quot;:&quot;&quot;,&quot;family&quot;:&quot;Hazza&quot;,&quot;given&quot;:&quot;Muataz&quot;,&quot;non-dropping-particle&quot;:&quot;Al&quot;,&quot;parse-names&quot;:false,&quot;suffix&quot;:&quot;&quot;},{&quot;dropping-particle&quot;:&quot;&quot;,&quot;family&quot;:&quot;Sakhrieh&quot;,&quot;given&quot;:&quot;Ahmad&quot;,&quot;non-dropping-particle&quot;:&quot;&quot;,&quot;parse-names&quot;:false,&quot;suffix&quot;:&quot;&quot;}],&quot;container-title&quot;:&quot;Sustainability (Switzerland)&quot;,&quot;id&quot;:&quot;f1afad9a-a659-52cf-af80-1f75aa00496b&quot;,&quot;issue&quot;:&quot;14&quot;,&quot;issued&quot;:{&quot;date-parts&quot;:[[&quot;2024&quot;]]},&quot;page&quot;:&quot;1-19&quot;,&quot;title&quot;:&quot;Economic Order Quantity: A State-of-the-Art in the Era of Uncertain Supply Chains&quot;,&quot;type&quot;:&quot;article-journal&quot;,&quot;volume&quot;:&quot;16&quot;,&quot;container-title-short&quot;:&quot;&quot;},&quot;uris&quot;:[&quot;http://www.mendeley.com/documents/?uuid=14ec7ed5-a951-4d9f-b477-6ad0c5bdda60&quot;],&quot;isTemporary&quot;:false,&quot;legacyDesktopId&quot;:&quot;14ec7ed5-a951-4d9f-b477-6ad0c5bdda60&quot;}]},{&quot;citationID&quot;:&quot;MENDELEY_CITATION_6c6e0c9f-4b27-492f-9733-632f0e712c8f&quot;,&quot;properties&quot;:{&quot;noteIndex&quot;:0},&quot;isEdited&quot;:false,&quot;manualOverride&quot;:{&quot;citeprocText&quot;:&quot;[24]&quot;,&quot;isManuallyOverridden&quot;:false,&quot;manualOverrideText&quot;:&quot;&quot;},&quot;citationTag&quot;:&quot;MENDELEY_CITATION_v3_eyJjaXRhdGlvbklEIjoiTUVOREVMRVlfQ0lUQVRJT05fNmM2ZTBjOWYtNGIyNy00OTJmLTk3MzMtNjMyZjBlNzEyYzhmIiwicHJvcGVydGllcyI6eyJub3RlSW5kZXgiOjB9LCJpc0VkaXRlZCI6ZmFsc2UsIm1hbnVhbE92ZXJyaWRlIjp7ImNpdGVwcm9jVGV4dCI6IlsyNF0iLCJpc01hbnVhbGx5T3ZlcnJpZGRlbiI6ZmFsc2UsIm1hbnVhbE92ZXJyaWRlVGV4dCI6IiJ9LCJjaXRhdGlvbkl0ZW1zIjpbeyJpZCI6IjI1NTkyYjYxLTNjMTktNTI3NS1hNGZjLWExYjU3MjZmN2VjMyIsIml0ZW1EYXRhIjp7IklTQk4iOiI5Nzg5MzMyNTQ4MjM3IiwiSVNTTiI6IjE3NTMtMDI5Ni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&quot;,&quot;citationItems&quot;:[{&quot;id&quot;:&quot;25592b61-3c19-5275-a4fc-a1b5726f7ec3&quot;,&quot;itemData&quot;:{&quot;ISBN&quot;:&quot;9789332548237&quot;,&quot;ISSN&quot;:&quot;1753-0296&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author&quot;:[{&quot;dropping-particle&quot;:&quot;&quot;,&quot;family&quot;:&quot;Chopra&quot;,&quot;given&quot;:&quot;Sunil&quot;,&quot;non-dropping-particle&quot;:&quot;&quot;,&quot;parse-names&quot;:false,&quot;suffix&quot;:&quot;&quot;},{&quot;dropping-particle&quot;:&quot;&quot;,&quot;family&quot;:&quot;Kalra&quot;,&quot;given&quot;:&quot;Peter Meindl Dharam Vir&quot;,&quot;non-dropping-particle&quot;:&quot;&quot;,&quot;parse-names&quot;:false,&quot;suffix&quot;:&quot;&quot;}],&quot;container-title&quot;:&quot;Pearson India Education Services Pvt. Ltd&quot;,&quot;id&quot;:&quot;25592b61-3c19-5275-a4fc-a1b5726f7ec3&quot;,&quot;issue&quot;:&quot;2&quot;,&quot;issued&quot;:{&quot;date-parts&quot;:[[&quot;2016&quot;]]},&quot;number-of-pages&quot;:&quot;1-590&quot;,&quot;title&quot;:&quot;Supply chain management, strategy, planning, and operations sixth edition.&quot;,&quot;type&quot;:&quot;book&quot;,&quot;volume&quot;:&quot;3&quot;,&quot;container-title-short&quot;:&quot;&quot;},&quot;uris&quot;:[&quot;http://www.mendeley.com/documents/?uuid=983a6c46-ac98-4042-8a18-8189520d34e0&quot;],&quot;isTemporary&quot;:false,&quot;legacyDesktopId&quot;:&quot;983a6c46-ac98-4042-8a18-8189520d34e0&quot;}]},{&quot;citationID&quot;:&quot;MENDELEY_CITATION_6db3df3b-6e5f-4af3-87e3-c47fd322dabb&quot;,&quot;properties&quot;:{&quot;noteIndex&quot;:0},&quot;isEdited&quot;:false,&quot;manualOverride&quot;:{&quot;citeprocText&quot;:&quot;[25]&quot;,&quot;isManuallyOverridden&quot;:false,&quot;manualOverrideText&quot;:&quot;&quot;},&quot;citationTag&quot;:&quot;MENDELEY_CITATION_v3_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&quot;,&quot;citationItems&quot;:[{&quot;id&quot;:&quot;0d6b383a-81d5-54f9-8cff-0adec5b47e3b&quot;,&quot;itemData&quot;:{&quot;DOI&quot;:&quot;https://doi.org/10.30872/jatri.v3i1.2304&quot;,&quot;ISSN&quot;:&quot;2528-3561&quot;,&quot;abstract&quot;:&quot;Dalam industri manufaktur, pengelolaan persediaan menjadi aspek krusial yang mempengaruhi efisiensi produksi dan kepuasan pelanggan. Penelitian ini bertujuan untuk menganalisis safety stock dan menentukan reorder point untuk produk Wheel-Grinding guna memastikan kontinuitas produksi serta menghindari kehabisan stock yang dapat mengganggu operasional. Metode yang digunakan meliputi analisis permintaan historis, lead time, serta fluktuasi permintaan untuk menghitung tingkat safety stock yang optimal. Penentuan reorder point didasarkan pada kombinasi antara rata-rata penggunaan harian dan lead time, dengan penyesuaian berdasarkan tingkat safety stock yang telah dihitung. Hasil penelitian menunjukkan bahwa penerapan strategi safety stock dan reorder point yang tepat dapat meningkatkan efisiensi inventaris, mengurangi biaya penyimpanan, serta meminimalkan risiko kehabisan stok. Rekomendasi diberikan untuk implementasi kebijakan manajemen persediaan yang lebih baik, yang diharapkan dapat memberikan manfaat jangka panjang bagi perusahaan.&quot;,&quot;author&quot;:[{&quot;dropping-particle&quot;:&quot;&quot;,&quot;family&quot;:&quot;Farhana&quot;,&quot;given&quot;:&quot;Nadya Nur&quot;,&quot;non-dropping-particle&quot;:&quot;&quot;,&quot;parse-names&quot;:false,&quot;suffix&quot;:&quot;&quot;},{&quot;dropping-particle&quot;:&quot;&quot;,&quot;family&quot;:&quot;Yahya&quot;,&quot;given&quot;:&quot;Wildan Firmayuda&quot;,&quot;non-dropping-particle&quot;:&quot;&quot;,&quot;parse-names&quot;:false,&quot;suffix&quot;:&quot;&quot;},{&quot;dropping-particle&quot;:&quot;&quot;,&quot;family&quot;:&quot;Mubarok&quot;,&quot;given&quot;:&quot;Khamdi&quot;,&quot;non-dropping-particle&quot;:&quot;&quot;,&quot;parse-names&quot;:false,&quot;suffix&quot;:&quot;&quot;}],&quot;container-title&quot;:&quot;JATRI-Jurnal Teknik Industri&quot;,&quot;id&quot;:&quot;0d6b383a-81d5-54f9-8cff-0adec5b47e3b&quot;,&quot;issue&quot;:&quot;3&quot;,&quot;issued&quot;:{&quot;date-parts&quot;:[[&quot;2025&quot;]]},&quot;page&quot;:&quot;80-88&quot;,&quot;title&quot;:&quot;Analisis Safety stock dan Reorder point Persediaan Produk Wheel-Grinding, 4\&quot; di PT XYZ&quot;,&quot;type&quot;:&quot;article-journal&quot;,&quot;volume&quot;:&quot;8&quot;,&quot;container-title-short&quot;:&quot;&quot;},&quot;uris&quot;:[&quot;http://www.mendeley.com/documents/?uuid=6b1f62f0-0ca7-4998-8226-061c5caf5414&quot;],&quot;isTemporary&quot;:false,&quot;legacyDesktopId&quot;:&quot;6b1f62f0-0ca7-4998-8226-061c5caf5414&quot;}]}]"/>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141F7DA-7DA5-40D8-8376-38AE3D6B7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6802</Words>
  <Characters>38772</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catur stp</dc:creator>
  <cp:keywords/>
  <dc:description/>
  <cp:lastModifiedBy>lenovo yoga s7</cp:lastModifiedBy>
  <cp:revision>4</cp:revision>
  <dcterms:created xsi:type="dcterms:W3CDTF">2026-10-22T04:09:00Z</dcterms:created>
  <dcterms:modified xsi:type="dcterms:W3CDTF">2026-10-22T04:20:00Z</dcterms:modified>
</cp:coreProperties>
</file>