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ANALISIS IMPLEMENTASI KEBIJAKAN PERATURAN MENTERI KELAUTAN DAN PERIKANAN NO 12 TAHUN 2020 DI KECAMATAN CIDAUN KABUPATEN CIANJUR</w:t>
      </w:r>
    </w:p>
    <w:p w:rsidR="00000000" w:rsidDel="00000000" w:rsidP="00000000" w:rsidRDefault="00000000" w:rsidRPr="00000000" w14:paraId="00000002">
      <w:pPr>
        <w:spacing w:line="240" w:lineRule="auto"/>
        <w:jc w:val="cente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ANALYSIS OF POLICY IMPLEMENTATION REGULATION OF THE MINISTER OF MARINE AND FISHERIES NO 12 OF 2020 IN KECAMATAN CIDAUN KABUPATEN CIANJUR</w:t>
      </w:r>
    </w:p>
    <w:p w:rsidR="00000000" w:rsidDel="00000000" w:rsidP="00000000" w:rsidRDefault="00000000" w:rsidRPr="00000000" w14:paraId="00000004">
      <w:pPr>
        <w:spacing w:line="240" w:lineRule="auto"/>
        <w:jc w:val="cente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06">
      <w:pPr>
        <w:spacing w:line="240" w:lineRule="auto"/>
        <w:jc w:val="cente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Desi Dwi Djayanti</w:t>
      </w:r>
      <w:r w:rsidDel="00000000" w:rsidR="00000000" w:rsidRPr="00000000">
        <w:rPr>
          <w:rFonts w:ascii="Garamond" w:cs="Garamond" w:eastAsia="Garamond" w:hAnsi="Garamond"/>
          <w:b w:val="1"/>
          <w:sz w:val="24"/>
          <w:szCs w:val="24"/>
          <w:vertAlign w:val="superscript"/>
          <w:rtl w:val="0"/>
        </w:rPr>
        <w:t xml:space="preserve">1</w:t>
      </w:r>
      <w:r w:rsidDel="00000000" w:rsidR="00000000" w:rsidRPr="00000000">
        <w:rPr>
          <w:rFonts w:ascii="Garamond" w:cs="Garamond" w:eastAsia="Garamond" w:hAnsi="Garamond"/>
          <w:b w:val="1"/>
          <w:sz w:val="24"/>
          <w:szCs w:val="24"/>
          <w:rtl w:val="0"/>
        </w:rPr>
        <w:t xml:space="preserve">, Trisna Insan Noor</w:t>
      </w:r>
      <w:r w:rsidDel="00000000" w:rsidR="00000000" w:rsidRPr="00000000">
        <w:rPr>
          <w:rFonts w:ascii="Garamond" w:cs="Garamond" w:eastAsia="Garamond" w:hAnsi="Garamond"/>
          <w:b w:val="1"/>
          <w:sz w:val="24"/>
          <w:szCs w:val="24"/>
          <w:vertAlign w:val="superscript"/>
          <w:rtl w:val="0"/>
        </w:rPr>
        <w:t xml:space="preserve">2</w:t>
      </w:r>
      <w:r w:rsidDel="00000000" w:rsidR="00000000" w:rsidRPr="00000000">
        <w:rPr>
          <w:rFonts w:ascii="Garamond" w:cs="Garamond" w:eastAsia="Garamond" w:hAnsi="Garamond"/>
          <w:b w:val="1"/>
          <w:sz w:val="24"/>
          <w:szCs w:val="24"/>
          <w:rtl w:val="0"/>
        </w:rPr>
        <w:t xml:space="preserve">, dan Ahmad Choibar Tridakusumah</w:t>
      </w:r>
      <w:r w:rsidDel="00000000" w:rsidR="00000000" w:rsidRPr="00000000">
        <w:rPr>
          <w:rFonts w:ascii="Garamond" w:cs="Garamond" w:eastAsia="Garamond" w:hAnsi="Garamond"/>
          <w:b w:val="1"/>
          <w:sz w:val="24"/>
          <w:szCs w:val="24"/>
          <w:vertAlign w:val="superscript"/>
          <w:rtl w:val="0"/>
        </w:rPr>
        <w:t xml:space="preserve">3</w:t>
      </w:r>
      <w:r w:rsidDel="00000000" w:rsidR="00000000" w:rsidRPr="00000000">
        <w:rPr>
          <w:rtl w:val="0"/>
        </w:rPr>
      </w:r>
    </w:p>
    <w:p w:rsidR="00000000" w:rsidDel="00000000" w:rsidP="00000000" w:rsidRDefault="00000000" w:rsidRPr="00000000" w14:paraId="00000007">
      <w:pPr>
        <w:spacing w:line="240" w:lineRule="auto"/>
        <w:jc w:val="cente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8">
      <w:pPr>
        <w:spacing w:line="240" w:lineRule="auto"/>
        <w:jc w:val="center"/>
        <w:rPr>
          <w:rFonts w:ascii="Garamond" w:cs="Garamond" w:eastAsia="Garamond" w:hAnsi="Garamond"/>
        </w:rPr>
      </w:pPr>
      <w:r w:rsidDel="00000000" w:rsidR="00000000" w:rsidRPr="00000000">
        <w:rPr>
          <w:rFonts w:ascii="Garamond" w:cs="Garamond" w:eastAsia="Garamond" w:hAnsi="Garamond"/>
          <w:vertAlign w:val="superscript"/>
          <w:rtl w:val="0"/>
        </w:rPr>
        <w:t xml:space="preserve">1</w:t>
      </w:r>
      <w:r w:rsidDel="00000000" w:rsidR="00000000" w:rsidRPr="00000000">
        <w:rPr>
          <w:rFonts w:ascii="Garamond" w:cs="Garamond" w:eastAsia="Garamond" w:hAnsi="Garamond"/>
          <w:rtl w:val="0"/>
        </w:rPr>
        <w:t xml:space="preserve">Universitas Suryakancana, Jl. Pasir Gede Raya, Bojongherang, Cianjur, Jawa Barat, 43216</w:t>
      </w:r>
    </w:p>
    <w:p w:rsidR="00000000" w:rsidDel="00000000" w:rsidP="00000000" w:rsidRDefault="00000000" w:rsidRPr="00000000" w14:paraId="00000009">
      <w:pPr>
        <w:spacing w:line="240" w:lineRule="auto"/>
        <w:jc w:val="center"/>
        <w:rPr>
          <w:rFonts w:ascii="Garamond" w:cs="Garamond" w:eastAsia="Garamond" w:hAnsi="Garamond"/>
        </w:rPr>
      </w:pPr>
      <w:r w:rsidDel="00000000" w:rsidR="00000000" w:rsidRPr="00000000">
        <w:rPr>
          <w:rFonts w:ascii="Garamond" w:cs="Garamond" w:eastAsia="Garamond" w:hAnsi="Garamond"/>
          <w:vertAlign w:val="superscript"/>
          <w:rtl w:val="0"/>
        </w:rPr>
        <w:t xml:space="preserve">2</w:t>
      </w:r>
      <w:r w:rsidDel="00000000" w:rsidR="00000000" w:rsidRPr="00000000">
        <w:rPr>
          <w:rFonts w:ascii="Garamond" w:cs="Garamond" w:eastAsia="Garamond" w:hAnsi="Garamond"/>
          <w:rtl w:val="0"/>
        </w:rPr>
        <w:t xml:space="preserve">Universitas Padjadjaran, Jln. Ir. Soekarno km. 21 Jatinangor, Sumedang, Jawa Barat, 45363 </w:t>
      </w:r>
    </w:p>
    <w:p w:rsidR="00000000" w:rsidDel="00000000" w:rsidP="00000000" w:rsidRDefault="00000000" w:rsidRPr="00000000" w14:paraId="0000000A">
      <w:pPr>
        <w:spacing w:line="240" w:lineRule="auto"/>
        <w:jc w:val="center"/>
        <w:rPr>
          <w:rFonts w:ascii="Garamond" w:cs="Garamond" w:eastAsia="Garamond" w:hAnsi="Garamond"/>
        </w:rPr>
      </w:pPr>
      <w:r w:rsidDel="00000000" w:rsidR="00000000" w:rsidRPr="00000000">
        <w:rPr>
          <w:rFonts w:ascii="Garamond" w:cs="Garamond" w:eastAsia="Garamond" w:hAnsi="Garamond"/>
          <w:vertAlign w:val="superscript"/>
          <w:rtl w:val="0"/>
        </w:rPr>
        <w:t xml:space="preserve">3</w:t>
      </w:r>
      <w:r w:rsidDel="00000000" w:rsidR="00000000" w:rsidRPr="00000000">
        <w:rPr>
          <w:rFonts w:ascii="Garamond" w:cs="Garamond" w:eastAsia="Garamond" w:hAnsi="Garamond"/>
          <w:rtl w:val="0"/>
        </w:rPr>
        <w:t xml:space="preserve">Universitas Padjadjaran, Jln. Ir. Soekarno km. 21 Jatinangor, Sumedang, Jawa Barat, 45363 </w:t>
      </w:r>
      <w:r w:rsidDel="00000000" w:rsidR="00000000" w:rsidRPr="00000000">
        <w:rPr>
          <w:rtl w:val="0"/>
        </w:rPr>
      </w:r>
    </w:p>
    <w:p w:rsidR="00000000" w:rsidDel="00000000" w:rsidP="00000000" w:rsidRDefault="00000000" w:rsidRPr="00000000" w14:paraId="0000000B">
      <w:pPr>
        <w:spacing w:line="240" w:lineRule="auto"/>
        <w:jc w:val="center"/>
        <w:rPr>
          <w:rFonts w:ascii="Garamond" w:cs="Garamond" w:eastAsia="Garamond" w:hAnsi="Garamond"/>
        </w:rPr>
      </w:pPr>
      <w:r w:rsidDel="00000000" w:rsidR="00000000" w:rsidRPr="00000000">
        <w:rPr>
          <w:rFonts w:ascii="Garamond" w:cs="Garamond" w:eastAsia="Garamond" w:hAnsi="Garamond"/>
          <w:rtl w:val="0"/>
        </w:rPr>
        <w:t xml:space="preserve">*E-mail corresponding: </w:t>
      </w:r>
      <w:hyperlink r:id="rId6">
        <w:r w:rsidDel="00000000" w:rsidR="00000000" w:rsidRPr="00000000">
          <w:rPr>
            <w:rFonts w:ascii="Garamond" w:cs="Garamond" w:eastAsia="Garamond" w:hAnsi="Garamond"/>
            <w:color w:val="1155cc"/>
            <w:u w:val="single"/>
            <w:rtl w:val="0"/>
          </w:rPr>
          <w:t xml:space="preserve">djayanti@unsur.ac.id</w:t>
        </w:r>
      </w:hyperlink>
      <w:r w:rsidDel="00000000" w:rsidR="00000000" w:rsidRPr="00000000">
        <w:rPr>
          <w:rFonts w:ascii="Garamond" w:cs="Garamond" w:eastAsia="Garamond" w:hAnsi="Garamond"/>
          <w:rtl w:val="0"/>
        </w:rPr>
        <w:t xml:space="preserve"> </w:t>
      </w:r>
      <w:r w:rsidDel="00000000" w:rsidR="00000000" w:rsidRPr="00000000">
        <w:rPr>
          <w:rFonts w:ascii="Garamond" w:cs="Garamond" w:eastAsia="Garamond" w:hAnsi="Garamond"/>
          <w:rtl w:val="0"/>
        </w:rPr>
        <w:t xml:space="preserve"> </w:t>
      </w:r>
    </w:p>
    <w:p w:rsidR="00000000" w:rsidDel="00000000" w:rsidP="00000000" w:rsidRDefault="00000000" w:rsidRPr="00000000" w14:paraId="0000000C">
      <w:pPr>
        <w:spacing w:line="240" w:lineRule="auto"/>
        <w:jc w:val="center"/>
        <w:rPr>
          <w:rFonts w:ascii="Garamond" w:cs="Garamond" w:eastAsia="Garamond" w:hAnsi="Garamond"/>
        </w:rPr>
      </w:pPr>
      <w:r w:rsidDel="00000000" w:rsidR="00000000" w:rsidRPr="00000000">
        <w:rPr>
          <w:rFonts w:ascii="Garamond" w:cs="Garamond" w:eastAsia="Garamond" w:hAnsi="Garamond"/>
          <w:rtl w:val="0"/>
        </w:rPr>
        <w:t xml:space="preserve">*E-mail Author 2: </w:t>
      </w:r>
      <w:hyperlink r:id="rId7">
        <w:r w:rsidDel="00000000" w:rsidR="00000000" w:rsidRPr="00000000">
          <w:rPr>
            <w:rFonts w:ascii="Garamond" w:cs="Garamond" w:eastAsia="Garamond" w:hAnsi="Garamond"/>
            <w:color w:val="1155cc"/>
            <w:u w:val="single"/>
            <w:rtl w:val="0"/>
          </w:rPr>
          <w:t xml:space="preserve">trisna.insan.noor@unpad.ac.id</w:t>
        </w:r>
      </w:hyperlink>
      <w:r w:rsidDel="00000000" w:rsidR="00000000" w:rsidRPr="00000000">
        <w:rPr>
          <w:rFonts w:ascii="Garamond" w:cs="Garamond" w:eastAsia="Garamond" w:hAnsi="Garamond"/>
          <w:rtl w:val="0"/>
        </w:rPr>
        <w:t xml:space="preserve"> </w:t>
      </w:r>
    </w:p>
    <w:p w:rsidR="00000000" w:rsidDel="00000000" w:rsidP="00000000" w:rsidRDefault="00000000" w:rsidRPr="00000000" w14:paraId="0000000D">
      <w:pPr>
        <w:spacing w:line="240" w:lineRule="auto"/>
        <w:jc w:val="center"/>
        <w:rPr>
          <w:rFonts w:ascii="Garamond" w:cs="Garamond" w:eastAsia="Garamond" w:hAnsi="Garamond"/>
          <w:color w:val="1155cc"/>
        </w:rPr>
      </w:pPr>
      <w:r w:rsidDel="00000000" w:rsidR="00000000" w:rsidRPr="00000000">
        <w:rPr>
          <w:rFonts w:ascii="Garamond" w:cs="Garamond" w:eastAsia="Garamond" w:hAnsi="Garamond"/>
          <w:rtl w:val="0"/>
        </w:rPr>
        <w:t xml:space="preserve">*E-mail Author 3: </w:t>
      </w:r>
      <w:hyperlink r:id="rId8">
        <w:r w:rsidDel="00000000" w:rsidR="00000000" w:rsidRPr="00000000">
          <w:rPr>
            <w:rFonts w:ascii="Times New Roman" w:cs="Times New Roman" w:eastAsia="Times New Roman" w:hAnsi="Times New Roman"/>
            <w:color w:val="1155cc"/>
            <w:highlight w:val="white"/>
            <w:u w:val="single"/>
            <w:rtl w:val="0"/>
          </w:rPr>
          <w:t xml:space="preserve">tridakusumah@gmail.com</w:t>
        </w:r>
      </w:hyperlink>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Garamond" w:cs="Garamond" w:eastAsia="Garamond" w:hAnsi="Garamond"/>
          <w:color w:val="1155cc"/>
          <w:rtl w:val="0"/>
        </w:rPr>
        <w:t xml:space="preserve"> </w:t>
      </w:r>
    </w:p>
    <w:p w:rsidR="00000000" w:rsidDel="00000000" w:rsidP="00000000" w:rsidRDefault="00000000" w:rsidRPr="00000000" w14:paraId="0000000E">
      <w:pPr>
        <w:spacing w:line="240" w:lineRule="auto"/>
        <w:jc w:val="center"/>
        <w:rPr>
          <w:rFonts w:ascii="Garamond" w:cs="Garamond" w:eastAsia="Garamond" w:hAnsi="Garamond"/>
        </w:rPr>
      </w:pPr>
      <w:r w:rsidDel="00000000" w:rsidR="00000000" w:rsidRPr="00000000">
        <w:rPr>
          <w:rtl w:val="0"/>
        </w:rPr>
      </w:r>
    </w:p>
    <w:tbl>
      <w:tblPr>
        <w:tblStyle w:val="Table1"/>
        <w:tblW w:w="87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4"/>
        <w:gridCol w:w="3260"/>
        <w:gridCol w:w="2835"/>
        <w:tblGridChange w:id="0">
          <w:tblGrid>
            <w:gridCol w:w="2694"/>
            <w:gridCol w:w="3260"/>
            <w:gridCol w:w="2835"/>
          </w:tblGrid>
        </w:tblGridChange>
      </w:tblGrid>
      <w:tr>
        <w:trPr>
          <w:cantSplit w:val="0"/>
          <w:tblHeader w:val="0"/>
        </w:trPr>
        <w:tc>
          <w:tcPr/>
          <w:p w:rsidR="00000000" w:rsidDel="00000000" w:rsidP="00000000" w:rsidRDefault="00000000" w:rsidRPr="00000000" w14:paraId="0000000F">
            <w:pPr>
              <w:rPr>
                <w:rFonts w:ascii="Garamond" w:cs="Garamond" w:eastAsia="Garamond" w:hAnsi="Garamond"/>
              </w:rPr>
            </w:pPr>
            <w:r w:rsidDel="00000000" w:rsidR="00000000" w:rsidRPr="00000000">
              <w:rPr>
                <w:rFonts w:ascii="Garamond" w:cs="Garamond" w:eastAsia="Garamond" w:hAnsi="Garamond"/>
                <w:rtl w:val="0"/>
              </w:rPr>
              <w:t xml:space="preserve">Masuk: tgl bln th</w:t>
            </w:r>
          </w:p>
        </w:tc>
        <w:tc>
          <w:tcPr/>
          <w:p w:rsidR="00000000" w:rsidDel="00000000" w:rsidP="00000000" w:rsidRDefault="00000000" w:rsidRPr="00000000" w14:paraId="00000010">
            <w:pPr>
              <w:rPr>
                <w:rFonts w:ascii="Garamond" w:cs="Garamond" w:eastAsia="Garamond" w:hAnsi="Garamond"/>
              </w:rPr>
            </w:pPr>
            <w:r w:rsidDel="00000000" w:rsidR="00000000" w:rsidRPr="00000000">
              <w:rPr>
                <w:rFonts w:ascii="Garamond" w:cs="Garamond" w:eastAsia="Garamond" w:hAnsi="Garamond"/>
                <w:rtl w:val="0"/>
              </w:rPr>
              <w:t xml:space="preserve">Penerimaan: tgl bln th</w:t>
            </w:r>
          </w:p>
        </w:tc>
        <w:tc>
          <w:tcPr/>
          <w:p w:rsidR="00000000" w:rsidDel="00000000" w:rsidP="00000000" w:rsidRDefault="00000000" w:rsidRPr="00000000" w14:paraId="00000011">
            <w:pPr>
              <w:rPr>
                <w:rFonts w:ascii="Garamond" w:cs="Garamond" w:eastAsia="Garamond" w:hAnsi="Garamond"/>
              </w:rPr>
            </w:pPr>
            <w:r w:rsidDel="00000000" w:rsidR="00000000" w:rsidRPr="00000000">
              <w:rPr>
                <w:rFonts w:ascii="Garamond" w:cs="Garamond" w:eastAsia="Garamond" w:hAnsi="Garamond"/>
                <w:rtl w:val="0"/>
              </w:rPr>
              <w:t xml:space="preserve">Publikasi: tgl bln th</w:t>
            </w:r>
          </w:p>
        </w:tc>
      </w:tr>
    </w:tbl>
    <w:p w:rsidR="00000000" w:rsidDel="00000000" w:rsidP="00000000" w:rsidRDefault="00000000" w:rsidRPr="00000000" w14:paraId="00000012">
      <w:pPr>
        <w:spacing w:line="240" w:lineRule="auto"/>
        <w:jc w:val="center"/>
        <w:rPr>
          <w:rFonts w:ascii="Garamond" w:cs="Garamond" w:eastAsia="Garamond" w:hAnsi="Garamond"/>
        </w:rPr>
      </w:pPr>
      <w:r w:rsidDel="00000000" w:rsidR="00000000" w:rsidRPr="00000000">
        <w:rPr>
          <w:rtl w:val="0"/>
        </w:rPr>
      </w:r>
    </w:p>
    <w:p w:rsidR="00000000" w:rsidDel="00000000" w:rsidP="00000000" w:rsidRDefault="00000000" w:rsidRPr="00000000" w14:paraId="00000013">
      <w:pPr>
        <w:spacing w:line="240" w:lineRule="auto"/>
        <w:jc w:val="cente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4">
      <w:pPr>
        <w:spacing w:line="240" w:lineRule="auto"/>
        <w:jc w:val="center"/>
        <w:rPr>
          <w:rFonts w:ascii="Garamond" w:cs="Garamond" w:eastAsia="Garamond" w:hAnsi="Garamond"/>
        </w:rPr>
      </w:pPr>
      <w:r w:rsidDel="00000000" w:rsidR="00000000" w:rsidRPr="00000000">
        <w:rPr>
          <w:rFonts w:ascii="Garamond" w:cs="Garamond" w:eastAsia="Garamond" w:hAnsi="Garamond"/>
          <w:b w:val="1"/>
          <w:rtl w:val="0"/>
        </w:rPr>
        <w:t xml:space="preserve">ABSTRAK </w:t>
      </w:r>
      <w:r w:rsidDel="00000000" w:rsidR="00000000" w:rsidRPr="00000000">
        <w:rPr>
          <w:rtl w:val="0"/>
        </w:rPr>
      </w:r>
    </w:p>
    <w:p w:rsidR="00000000" w:rsidDel="00000000" w:rsidP="00000000" w:rsidRDefault="00000000" w:rsidRPr="00000000" w14:paraId="00000015">
      <w:pPr>
        <w:spacing w:line="240" w:lineRule="auto"/>
        <w:jc w:val="center"/>
        <w:rPr>
          <w:rFonts w:ascii="Garamond" w:cs="Garamond" w:eastAsia="Garamond" w:hAnsi="Garamond"/>
        </w:rPr>
      </w:pPr>
      <w:r w:rsidDel="00000000" w:rsidR="00000000" w:rsidRPr="00000000">
        <w:rPr>
          <w:rtl w:val="0"/>
        </w:rPr>
      </w:r>
    </w:p>
    <w:p w:rsidR="00000000" w:rsidDel="00000000" w:rsidP="00000000" w:rsidRDefault="00000000" w:rsidRPr="00000000" w14:paraId="00000016">
      <w:pPr>
        <w:spacing w:line="240" w:lineRule="auto"/>
        <w:ind w:left="0" w:firstLine="0"/>
        <w:jc w:val="both"/>
        <w:rPr>
          <w:rFonts w:ascii="Garamond" w:cs="Garamond" w:eastAsia="Garamond" w:hAnsi="Garamond"/>
        </w:rPr>
      </w:pPr>
      <w:r w:rsidDel="00000000" w:rsidR="00000000" w:rsidRPr="00000000">
        <w:rPr>
          <w:rFonts w:ascii="Garamond" w:cs="Garamond" w:eastAsia="Garamond" w:hAnsi="Garamond"/>
          <w:rtl w:val="0"/>
        </w:rPr>
        <w:t xml:space="preserve">Lobster merupakan salah satu komoditas unggulan yang bernilai ekonomis tinggi. Seiring berjalannya waktu, permintaan tidak hanya untuk keperluan konsumsi, akan tetapi juga mencakup benih lobster. Tingginya permintaan dan harga benih dikhawatirkan akan mengancam keberlanjutan pengelolaannya. Menyikapi kondisi tersebut, pemerintah membatasi ukuran penangkapan dengan mengeluarkan PERMENKP No.56/2016. Namun pada tahun 2020 kebijakan tersebut diganti dengan PERMENKP No.12/2020 yang memberikan izin terhadap penangkapan. Tujuan penelitian ini yaitu menganalisis implementasi kebijakan tentang pengelolaan lobster di Kecamatan Cidaun. Metode penelitian yang digunakan yaitu kualitatif. Hasil analisis tersebut kemudian ditabulasikan ke dalam bentuk tabel dan dibahas secara deskriptif. Realisasi dari kebijakan tersebut menunjukkan bahwa selain alat penangkapan, semua mandat kebijakan tidak dipatuhi dengan semestinya.</w:t>
      </w:r>
    </w:p>
    <w:p w:rsidR="00000000" w:rsidDel="00000000" w:rsidP="00000000" w:rsidRDefault="00000000" w:rsidRPr="00000000" w14:paraId="00000017">
      <w:pPr>
        <w:spacing w:line="240" w:lineRule="auto"/>
        <w:ind w:left="1276"/>
        <w:rPr>
          <w:rFonts w:ascii="Garamond" w:cs="Garamond" w:eastAsia="Garamond" w:hAnsi="Garamond"/>
        </w:rPr>
      </w:pPr>
      <w:r w:rsidDel="00000000" w:rsidR="00000000" w:rsidRPr="00000000">
        <w:rPr>
          <w:rtl w:val="0"/>
        </w:rPr>
      </w:r>
    </w:p>
    <w:p w:rsidR="00000000" w:rsidDel="00000000" w:rsidP="00000000" w:rsidRDefault="00000000" w:rsidRPr="00000000" w14:paraId="00000018">
      <w:pPr>
        <w:spacing w:line="240" w:lineRule="auto"/>
        <w:ind w:left="1276"/>
        <w:rPr>
          <w:rFonts w:ascii="Garamond" w:cs="Garamond" w:eastAsia="Garamond" w:hAnsi="Garamond"/>
        </w:rPr>
      </w:pPr>
      <w:r w:rsidDel="00000000" w:rsidR="00000000" w:rsidRPr="00000000">
        <w:rPr>
          <w:rFonts w:ascii="Garamond" w:cs="Garamond" w:eastAsia="Garamond" w:hAnsi="Garamond"/>
          <w:rtl w:val="0"/>
        </w:rPr>
        <w:t xml:space="preserve">Kata kunci: kebijakan, nelayan, lobster, implementasi</w:t>
      </w:r>
    </w:p>
    <w:p w:rsidR="00000000" w:rsidDel="00000000" w:rsidP="00000000" w:rsidRDefault="00000000" w:rsidRPr="00000000" w14:paraId="00000019">
      <w:pPr>
        <w:spacing w:line="240" w:lineRule="auto"/>
        <w:ind w:left="1276"/>
        <w:rPr>
          <w:rFonts w:ascii="Garamond" w:cs="Garamond" w:eastAsia="Garamond" w:hAnsi="Garamond"/>
        </w:rPr>
      </w:pPr>
      <w:r w:rsidDel="00000000" w:rsidR="00000000" w:rsidRPr="00000000">
        <w:rPr>
          <w:rtl w:val="0"/>
        </w:rPr>
      </w:r>
    </w:p>
    <w:p w:rsidR="00000000" w:rsidDel="00000000" w:rsidP="00000000" w:rsidRDefault="00000000" w:rsidRPr="00000000" w14:paraId="0000001A">
      <w:pPr>
        <w:spacing w:line="240" w:lineRule="auto"/>
        <w:ind w:left="1276"/>
        <w:rPr>
          <w:rFonts w:ascii="Garamond" w:cs="Garamond" w:eastAsia="Garamond" w:hAnsi="Garamond"/>
        </w:rPr>
      </w:pPr>
      <w:r w:rsidDel="00000000" w:rsidR="00000000" w:rsidRPr="00000000">
        <w:rPr>
          <w:rtl w:val="0"/>
        </w:rPr>
      </w:r>
    </w:p>
    <w:p w:rsidR="00000000" w:rsidDel="00000000" w:rsidP="00000000" w:rsidRDefault="00000000" w:rsidRPr="00000000" w14:paraId="0000001B">
      <w:pPr>
        <w:spacing w:line="240" w:lineRule="auto"/>
        <w:jc w:val="center"/>
        <w:rPr>
          <w:rFonts w:ascii="Garamond" w:cs="Garamond" w:eastAsia="Garamond" w:hAnsi="Garamond"/>
        </w:rPr>
      </w:pPr>
      <w:r w:rsidDel="00000000" w:rsidR="00000000" w:rsidRPr="00000000">
        <w:rPr>
          <w:rFonts w:ascii="Garamond" w:cs="Garamond" w:eastAsia="Garamond" w:hAnsi="Garamond"/>
          <w:b w:val="1"/>
          <w:i w:val="1"/>
          <w:rtl w:val="0"/>
        </w:rPr>
        <w:t xml:space="preserve">ABSTRACT</w:t>
      </w:r>
      <w:r w:rsidDel="00000000" w:rsidR="00000000" w:rsidRPr="00000000">
        <w:rPr>
          <w:rFonts w:ascii="Garamond" w:cs="Garamond" w:eastAsia="Garamond" w:hAnsi="Garamond"/>
          <w:b w:val="1"/>
          <w:rtl w:val="0"/>
        </w:rPr>
        <w:t xml:space="preserve"> </w:t>
      </w:r>
      <w:r w:rsidDel="00000000" w:rsidR="00000000" w:rsidRPr="00000000">
        <w:rPr>
          <w:rtl w:val="0"/>
        </w:rPr>
      </w:r>
    </w:p>
    <w:p w:rsidR="00000000" w:rsidDel="00000000" w:rsidP="00000000" w:rsidRDefault="00000000" w:rsidRPr="00000000" w14:paraId="0000001C">
      <w:pPr>
        <w:spacing w:line="240" w:lineRule="auto"/>
        <w:jc w:val="both"/>
        <w:rPr>
          <w:rFonts w:ascii="Garamond" w:cs="Garamond" w:eastAsia="Garamond" w:hAnsi="Garamond"/>
          <w:i w:val="1"/>
        </w:rPr>
      </w:pPr>
      <w:r w:rsidDel="00000000" w:rsidR="00000000" w:rsidRPr="00000000">
        <w:rPr>
          <w:rFonts w:ascii="Garamond" w:cs="Garamond" w:eastAsia="Garamond" w:hAnsi="Garamond"/>
          <w:i w:val="1"/>
          <w:rtl w:val="0"/>
        </w:rPr>
        <w:t xml:space="preserve">Lobster is one of the leading commodities with high economic value. Over time, the demand is not only for consumption purposes, but also includes lobster seeds. It is feared that the high demand and price of seeds will threaten the sustainability of its management. Responding to these conditions, the government limits the arrest of arrests by issuing PERMENKP No.56/2016. However, in 2020 the policy was replaced with PERMENKP No.12 / 2020 which provides permits for arrests. The purpose of this study was to analyze the implementation of policies on lobster management in Cidaun District. The research method used is a mixed method with a sampling technique using simple random sampling with a total of 79 respondents. The results of the analysis are then tabulated into tabular form and discussed descriptively. The realization of the policy shows that apart from fishing gear, all mandated policies are not being followed properly.</w:t>
      </w:r>
    </w:p>
    <w:p w:rsidR="00000000" w:rsidDel="00000000" w:rsidP="00000000" w:rsidRDefault="00000000" w:rsidRPr="00000000" w14:paraId="0000001D">
      <w:pPr>
        <w:spacing w:line="240" w:lineRule="auto"/>
        <w:jc w:val="both"/>
        <w:rPr>
          <w:rFonts w:ascii="Garamond" w:cs="Garamond" w:eastAsia="Garamond" w:hAnsi="Garamond"/>
          <w:i w:val="1"/>
        </w:rPr>
      </w:pPr>
      <w:r w:rsidDel="00000000" w:rsidR="00000000" w:rsidRPr="00000000">
        <w:rPr>
          <w:rtl w:val="0"/>
        </w:rPr>
      </w:r>
    </w:p>
    <w:p w:rsidR="00000000" w:rsidDel="00000000" w:rsidP="00000000" w:rsidRDefault="00000000" w:rsidRPr="00000000" w14:paraId="0000001E">
      <w:pPr>
        <w:spacing w:line="240" w:lineRule="auto"/>
        <w:jc w:val="both"/>
        <w:rPr>
          <w:rFonts w:ascii="Garamond" w:cs="Garamond" w:eastAsia="Garamond" w:hAnsi="Garamond"/>
          <w:i w:val="1"/>
        </w:rPr>
      </w:pPr>
      <w:r w:rsidDel="00000000" w:rsidR="00000000" w:rsidRPr="00000000">
        <w:rPr>
          <w:rFonts w:ascii="Garamond" w:cs="Garamond" w:eastAsia="Garamond" w:hAnsi="Garamond"/>
          <w:i w:val="1"/>
          <w:rtl w:val="0"/>
        </w:rPr>
        <w:t xml:space="preserve">Key words: policy, fisherman, lobster, implementation</w:t>
      </w:r>
    </w:p>
    <w:p w:rsidR="00000000" w:rsidDel="00000000" w:rsidP="00000000" w:rsidRDefault="00000000" w:rsidRPr="00000000" w14:paraId="0000001F">
      <w:pPr>
        <w:spacing w:line="240" w:lineRule="auto"/>
        <w:jc w:val="both"/>
        <w:rPr>
          <w:rFonts w:ascii="Garamond" w:cs="Garamond" w:eastAsia="Garamond" w:hAnsi="Garamond"/>
          <w:i w:val="1"/>
        </w:rPr>
      </w:pPr>
      <w:r w:rsidDel="00000000" w:rsidR="00000000" w:rsidRPr="00000000">
        <w:rPr>
          <w:rtl w:val="0"/>
        </w:rPr>
      </w:r>
    </w:p>
    <w:p w:rsidR="00000000" w:rsidDel="00000000" w:rsidP="00000000" w:rsidRDefault="00000000" w:rsidRPr="00000000" w14:paraId="00000020">
      <w:pPr>
        <w:spacing w:line="240" w:lineRule="auto"/>
        <w:jc w:val="both"/>
        <w:rPr>
          <w:rFonts w:ascii="Garamond" w:cs="Garamond" w:eastAsia="Garamond" w:hAnsi="Garamond"/>
          <w:i w:val="1"/>
        </w:rPr>
      </w:pPr>
      <w:r w:rsidDel="00000000" w:rsidR="00000000" w:rsidRPr="00000000">
        <w:rPr>
          <w:rtl w:val="0"/>
        </w:rPr>
      </w:r>
    </w:p>
    <w:p w:rsidR="00000000" w:rsidDel="00000000" w:rsidP="00000000" w:rsidRDefault="00000000" w:rsidRPr="00000000" w14:paraId="00000021">
      <w:pPr>
        <w:spacing w:line="240" w:lineRule="auto"/>
        <w:jc w:val="both"/>
        <w:rPr>
          <w:rFonts w:ascii="Garamond" w:cs="Garamond" w:eastAsia="Garamond" w:hAnsi="Garamond"/>
          <w:i w:val="1"/>
        </w:rPr>
        <w:sectPr>
          <w:headerReference r:id="rId9" w:type="default"/>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22">
      <w:pPr>
        <w:spacing w:line="240" w:lineRule="auto"/>
        <w:jc w:val="both"/>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PENDAHULUAN</w:t>
      </w:r>
      <w:r w:rsidDel="00000000" w:rsidR="00000000" w:rsidRPr="00000000">
        <w:rPr>
          <w:rtl w:val="0"/>
        </w:rPr>
      </w:r>
    </w:p>
    <w:p w:rsidR="00000000" w:rsidDel="00000000" w:rsidP="00000000" w:rsidRDefault="00000000" w:rsidRPr="00000000" w14:paraId="00000023">
      <w:pPr>
        <w:spacing w:line="240" w:lineRule="auto"/>
        <w:ind w:firstLine="567"/>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Crustacea atau udang-udangan merupakan bagian dari perikanan tangkap di Indonesia. Kelompok ini memberikan kontribusi yang besar terhadap produksi perikanan tangkap Indonesia. 10 tahun terakhir, data lebih lengkap dapat dilihat pada Tabel 1. </w:t>
      </w:r>
    </w:p>
    <w:p w:rsidR="00000000" w:rsidDel="00000000" w:rsidP="00000000" w:rsidRDefault="00000000" w:rsidRPr="00000000" w14:paraId="00000024">
      <w:pPr>
        <w:spacing w:line="240" w:lineRule="auto"/>
        <w:ind w:firstLine="567"/>
        <w:jc w:val="both"/>
        <w:rPr>
          <w:rFonts w:ascii="Garamond" w:cs="Garamond" w:eastAsia="Garamond" w:hAnsi="Garamond"/>
          <w:sz w:val="24"/>
          <w:szCs w:val="24"/>
        </w:rPr>
      </w:pPr>
      <w:r w:rsidDel="00000000" w:rsidR="00000000" w:rsidRPr="00000000">
        <w:rPr>
          <w:rtl w:val="0"/>
        </w:rPr>
      </w:r>
    </w:p>
    <w:tbl>
      <w:tblPr>
        <w:tblStyle w:val="Table2"/>
        <w:tblpPr w:leftFromText="180" w:rightFromText="180" w:topFromText="0" w:bottomFromText="200" w:vertAnchor="text" w:horzAnchor="text" w:tblpX="-15.000000000000213" w:tblpY="0"/>
        <w:tblW w:w="8805.0" w:type="dxa"/>
        <w:jc w:val="left"/>
        <w:tblInd w:w="-115.0" w:type="dxa"/>
        <w:tblLayout w:type="fixed"/>
        <w:tblLook w:val="0400"/>
      </w:tblPr>
      <w:tblGrid>
        <w:gridCol w:w="3270"/>
        <w:gridCol w:w="1710"/>
        <w:gridCol w:w="855"/>
        <w:gridCol w:w="1980"/>
        <w:gridCol w:w="990"/>
        <w:tblGridChange w:id="0">
          <w:tblGrid>
            <w:gridCol w:w="3270"/>
            <w:gridCol w:w="1710"/>
            <w:gridCol w:w="855"/>
            <w:gridCol w:w="1980"/>
            <w:gridCol w:w="990"/>
          </w:tblGrid>
        </w:tblGridChange>
      </w:tblGrid>
      <w:tr>
        <w:trPr>
          <w:cantSplit w:val="0"/>
          <w:trHeight w:val="279" w:hRule="atLeast"/>
          <w:tblHeader w:val="0"/>
        </w:trPr>
        <w:tc>
          <w:tcPr>
            <w:gridSpan w:val="5"/>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25">
            <w:pPr>
              <w:spacing w:line="240" w:lineRule="auto"/>
              <w:ind w:left="851"/>
              <w:rPr>
                <w:rFonts w:ascii="Garamond" w:cs="Garamond" w:eastAsia="Garamond" w:hAnsi="Garamond"/>
                <w:color w:val="1f497d"/>
                <w:sz w:val="24"/>
                <w:szCs w:val="24"/>
              </w:rPr>
            </w:pPr>
            <w:bookmarkStart w:colFirst="0" w:colLast="0" w:name="_30j0zll" w:id="0"/>
            <w:bookmarkEnd w:id="0"/>
            <w:r w:rsidDel="00000000" w:rsidR="00000000" w:rsidRPr="00000000">
              <w:rPr>
                <w:rFonts w:ascii="Garamond" w:cs="Garamond" w:eastAsia="Garamond" w:hAnsi="Garamond"/>
                <w:sz w:val="24"/>
                <w:szCs w:val="24"/>
                <w:rtl w:val="0"/>
              </w:rPr>
              <w:t xml:space="preserve">Tabel 1. Volume dan Nilai Ekspor Produk Perikanan Berdasarkan Komoditas (Ton)</w:t>
            </w:r>
            <w:r w:rsidDel="00000000" w:rsidR="00000000" w:rsidRPr="00000000">
              <w:rPr>
                <w:rtl w:val="0"/>
              </w:rPr>
            </w:r>
          </w:p>
        </w:tc>
      </w:tr>
      <w:tr>
        <w:trPr>
          <w:cantSplit w:val="0"/>
          <w:trHeight w:val="152"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A">
            <w:pPr>
              <w:spacing w:line="240" w:lineRule="auto"/>
              <w:jc w:val="center"/>
              <w:rPr>
                <w:rFonts w:ascii="Garamond" w:cs="Garamond" w:eastAsia="Garamond" w:hAnsi="Garamond"/>
                <w:b w:val="1"/>
                <w:sz w:val="20"/>
                <w:szCs w:val="20"/>
              </w:rPr>
            </w:pPr>
            <w:r w:rsidDel="00000000" w:rsidR="00000000" w:rsidRPr="00000000">
              <w:rPr>
                <w:rFonts w:ascii="Garamond" w:cs="Garamond" w:eastAsia="Garamond" w:hAnsi="Garamond"/>
                <w:b w:val="1"/>
                <w:sz w:val="20"/>
                <w:szCs w:val="20"/>
                <w:rtl w:val="0"/>
              </w:rPr>
              <w:t xml:space="preserve">Komoditas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B">
            <w:pPr>
              <w:spacing w:line="240" w:lineRule="auto"/>
              <w:jc w:val="center"/>
              <w:rPr>
                <w:rFonts w:ascii="Garamond" w:cs="Garamond" w:eastAsia="Garamond" w:hAnsi="Garamond"/>
                <w:b w:val="1"/>
                <w:sz w:val="20"/>
                <w:szCs w:val="20"/>
              </w:rPr>
            </w:pPr>
            <w:r w:rsidDel="00000000" w:rsidR="00000000" w:rsidRPr="00000000">
              <w:rPr>
                <w:rFonts w:ascii="Garamond" w:cs="Garamond" w:eastAsia="Garamond" w:hAnsi="Garamond"/>
                <w:b w:val="1"/>
                <w:sz w:val="20"/>
                <w:szCs w:val="20"/>
                <w:rtl w:val="0"/>
              </w:rPr>
              <w:t xml:space="preserve">Volume</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C">
            <w:pPr>
              <w:spacing w:line="240" w:lineRule="auto"/>
              <w:jc w:val="center"/>
              <w:rPr>
                <w:rFonts w:ascii="Garamond" w:cs="Garamond" w:eastAsia="Garamond" w:hAnsi="Garamond"/>
                <w:b w:val="1"/>
                <w:sz w:val="20"/>
                <w:szCs w:val="20"/>
              </w:rPr>
            </w:pPr>
            <w:r w:rsidDel="00000000" w:rsidR="00000000" w:rsidRPr="00000000">
              <w:rPr>
                <w:rFonts w:ascii="Garamond" w:cs="Garamond" w:eastAsia="Garamond" w:hAnsi="Garamond"/>
                <w:b w:val="1"/>
                <w:sz w:val="20"/>
                <w:szCs w:val="20"/>
                <w:rtl w:val="0"/>
              </w:rPr>
              <w:t xml:space="preserve">%</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D">
            <w:pPr>
              <w:spacing w:line="240" w:lineRule="auto"/>
              <w:jc w:val="center"/>
              <w:rPr>
                <w:rFonts w:ascii="Garamond" w:cs="Garamond" w:eastAsia="Garamond" w:hAnsi="Garamond"/>
                <w:b w:val="1"/>
                <w:sz w:val="20"/>
                <w:szCs w:val="20"/>
              </w:rPr>
            </w:pPr>
            <w:r w:rsidDel="00000000" w:rsidR="00000000" w:rsidRPr="00000000">
              <w:rPr>
                <w:rFonts w:ascii="Garamond" w:cs="Garamond" w:eastAsia="Garamond" w:hAnsi="Garamond"/>
                <w:b w:val="1"/>
                <w:sz w:val="20"/>
                <w:szCs w:val="20"/>
                <w:rtl w:val="0"/>
              </w:rPr>
              <w:t xml:space="preserve">Nilai</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E">
            <w:pPr>
              <w:spacing w:line="240" w:lineRule="auto"/>
              <w:jc w:val="center"/>
              <w:rPr>
                <w:rFonts w:ascii="Garamond" w:cs="Garamond" w:eastAsia="Garamond" w:hAnsi="Garamond"/>
                <w:b w:val="1"/>
                <w:sz w:val="20"/>
                <w:szCs w:val="20"/>
              </w:rPr>
            </w:pPr>
            <w:r w:rsidDel="00000000" w:rsidR="00000000" w:rsidRPr="00000000">
              <w:rPr>
                <w:rFonts w:ascii="Garamond" w:cs="Garamond" w:eastAsia="Garamond" w:hAnsi="Garamond"/>
                <w:b w:val="1"/>
                <w:sz w:val="20"/>
                <w:szCs w:val="20"/>
                <w:rtl w:val="0"/>
              </w:rPr>
              <w:t xml:space="preserve">%</w:t>
            </w:r>
          </w:p>
        </w:tc>
      </w:tr>
      <w:tr>
        <w:trPr>
          <w:cantSplit w:val="0"/>
          <w:trHeight w:val="142" w:hRule="atLeast"/>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2F">
            <w:pPr>
              <w:spacing w:line="240" w:lineRule="auto"/>
              <w:ind w:hanging="108"/>
              <w:jc w:val="both"/>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Cumi-Sotong- Gurita</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30">
            <w:pPr>
              <w:spacing w:line="240" w:lineRule="auto"/>
              <w:jc w:val="right"/>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143.847.343.07</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31">
            <w:pPr>
              <w:spacing w:line="240" w:lineRule="auto"/>
              <w:jc w:val="right"/>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12,15</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32">
            <w:pPr>
              <w:spacing w:line="240" w:lineRule="auto"/>
              <w:jc w:val="right"/>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556.290.650.98</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33">
            <w:pPr>
              <w:spacing w:line="240" w:lineRule="auto"/>
              <w:jc w:val="right"/>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11,27</w:t>
            </w:r>
          </w:p>
        </w:tc>
      </w:tr>
      <w:tr>
        <w:trPr>
          <w:cantSplit w:val="0"/>
          <w:trHeight w:val="85" w:hRule="atLeast"/>
          <w:tblHeader w:val="0"/>
        </w:trPr>
        <w:tc>
          <w:tcPr/>
          <w:p w:rsidR="00000000" w:rsidDel="00000000" w:rsidP="00000000" w:rsidRDefault="00000000" w:rsidRPr="00000000" w14:paraId="00000034">
            <w:pPr>
              <w:spacing w:line="240" w:lineRule="auto"/>
              <w:ind w:hanging="108"/>
              <w:jc w:val="both"/>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Rajungan-Kepiting </w:t>
            </w:r>
          </w:p>
        </w:tc>
        <w:tc>
          <w:tcPr/>
          <w:p w:rsidR="00000000" w:rsidDel="00000000" w:rsidP="00000000" w:rsidRDefault="00000000" w:rsidRPr="00000000" w14:paraId="00000035">
            <w:pPr>
              <w:spacing w:line="240" w:lineRule="auto"/>
              <w:jc w:val="right"/>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25.942.911.49</w:t>
            </w:r>
          </w:p>
        </w:tc>
        <w:tc>
          <w:tcPr/>
          <w:p w:rsidR="00000000" w:rsidDel="00000000" w:rsidP="00000000" w:rsidRDefault="00000000" w:rsidRPr="00000000" w14:paraId="00000036">
            <w:pPr>
              <w:spacing w:line="240" w:lineRule="auto"/>
              <w:jc w:val="right"/>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2,19</w:t>
            </w:r>
          </w:p>
        </w:tc>
        <w:tc>
          <w:tcPr/>
          <w:p w:rsidR="00000000" w:rsidDel="00000000" w:rsidP="00000000" w:rsidRDefault="00000000" w:rsidRPr="00000000" w14:paraId="00000037">
            <w:pPr>
              <w:spacing w:line="240" w:lineRule="auto"/>
              <w:jc w:val="right"/>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393.497.773.68</w:t>
            </w:r>
          </w:p>
        </w:tc>
        <w:tc>
          <w:tcPr/>
          <w:p w:rsidR="00000000" w:rsidDel="00000000" w:rsidP="00000000" w:rsidRDefault="00000000" w:rsidRPr="00000000" w14:paraId="00000038">
            <w:pPr>
              <w:spacing w:line="240" w:lineRule="auto"/>
              <w:jc w:val="right"/>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7,97</w:t>
            </w:r>
          </w:p>
        </w:tc>
      </w:tr>
      <w:tr>
        <w:trPr>
          <w:cantSplit w:val="0"/>
          <w:trHeight w:val="148" w:hRule="atLeast"/>
          <w:tblHeader w:val="0"/>
        </w:trPr>
        <w:tc>
          <w:tcPr/>
          <w:p w:rsidR="00000000" w:rsidDel="00000000" w:rsidP="00000000" w:rsidRDefault="00000000" w:rsidRPr="00000000" w14:paraId="00000039">
            <w:pPr>
              <w:spacing w:line="240" w:lineRule="auto"/>
              <w:ind w:hanging="108"/>
              <w:jc w:val="both"/>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Rumput Laut</w:t>
            </w:r>
          </w:p>
        </w:tc>
        <w:tc>
          <w:tcPr/>
          <w:p w:rsidR="00000000" w:rsidDel="00000000" w:rsidP="00000000" w:rsidRDefault="00000000" w:rsidRPr="00000000" w14:paraId="0000003A">
            <w:pPr>
              <w:spacing w:line="240" w:lineRule="auto"/>
              <w:jc w:val="right"/>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209.241.303.11</w:t>
            </w:r>
          </w:p>
        </w:tc>
        <w:tc>
          <w:tcPr/>
          <w:p w:rsidR="00000000" w:rsidDel="00000000" w:rsidP="00000000" w:rsidRDefault="00000000" w:rsidRPr="00000000" w14:paraId="0000003B">
            <w:pPr>
              <w:spacing w:line="240" w:lineRule="auto"/>
              <w:jc w:val="right"/>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17,67</w:t>
            </w:r>
          </w:p>
        </w:tc>
        <w:tc>
          <w:tcPr/>
          <w:p w:rsidR="00000000" w:rsidDel="00000000" w:rsidP="00000000" w:rsidRDefault="00000000" w:rsidRPr="00000000" w14:paraId="0000003C">
            <w:pPr>
              <w:spacing w:line="240" w:lineRule="auto"/>
              <w:jc w:val="right"/>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324.849.979.30</w:t>
            </w:r>
          </w:p>
        </w:tc>
        <w:tc>
          <w:tcPr/>
          <w:p w:rsidR="00000000" w:rsidDel="00000000" w:rsidP="00000000" w:rsidRDefault="00000000" w:rsidRPr="00000000" w14:paraId="0000003D">
            <w:pPr>
              <w:spacing w:line="240" w:lineRule="auto"/>
              <w:jc w:val="right"/>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6,58</w:t>
            </w:r>
          </w:p>
        </w:tc>
      </w:tr>
      <w:tr>
        <w:trPr>
          <w:cantSplit w:val="0"/>
          <w:trHeight w:val="164" w:hRule="atLeast"/>
          <w:tblHeader w:val="0"/>
        </w:trPr>
        <w:tc>
          <w:tcPr/>
          <w:p w:rsidR="00000000" w:rsidDel="00000000" w:rsidP="00000000" w:rsidRDefault="00000000" w:rsidRPr="00000000" w14:paraId="0000003E">
            <w:pPr>
              <w:spacing w:line="240" w:lineRule="auto"/>
              <w:ind w:left="-108" w:firstLine="0"/>
              <w:jc w:val="both"/>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Tuna-Tongkol-Cakalang </w:t>
            </w:r>
          </w:p>
        </w:tc>
        <w:tc>
          <w:tcPr>
            <w:vAlign w:val="center"/>
          </w:tcPr>
          <w:p w:rsidR="00000000" w:rsidDel="00000000" w:rsidP="00000000" w:rsidRDefault="00000000" w:rsidRPr="00000000" w14:paraId="0000003F">
            <w:pPr>
              <w:spacing w:line="240" w:lineRule="auto"/>
              <w:jc w:val="right"/>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184.130.234.06</w:t>
            </w:r>
          </w:p>
        </w:tc>
        <w:tc>
          <w:tcPr>
            <w:vAlign w:val="center"/>
          </w:tcPr>
          <w:p w:rsidR="00000000" w:rsidDel="00000000" w:rsidP="00000000" w:rsidRDefault="00000000" w:rsidRPr="00000000" w14:paraId="00000040">
            <w:pPr>
              <w:spacing w:line="240" w:lineRule="auto"/>
              <w:jc w:val="right"/>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15,55</w:t>
            </w:r>
          </w:p>
        </w:tc>
        <w:tc>
          <w:tcPr>
            <w:vAlign w:val="center"/>
          </w:tcPr>
          <w:p w:rsidR="00000000" w:rsidDel="00000000" w:rsidP="00000000" w:rsidRDefault="00000000" w:rsidRPr="00000000" w14:paraId="00000041">
            <w:pPr>
              <w:spacing w:line="240" w:lineRule="auto"/>
              <w:jc w:val="right"/>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747.538.121.98</w:t>
            </w:r>
          </w:p>
        </w:tc>
        <w:tc>
          <w:tcPr>
            <w:vAlign w:val="center"/>
          </w:tcPr>
          <w:p w:rsidR="00000000" w:rsidDel="00000000" w:rsidP="00000000" w:rsidRDefault="00000000" w:rsidRPr="00000000" w14:paraId="00000042">
            <w:pPr>
              <w:spacing w:line="240" w:lineRule="auto"/>
              <w:jc w:val="right"/>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15,14</w:t>
            </w:r>
          </w:p>
        </w:tc>
      </w:tr>
      <w:tr>
        <w:trPr>
          <w:cantSplit w:val="0"/>
          <w:trHeight w:val="85"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43">
            <w:pPr>
              <w:spacing w:line="240" w:lineRule="auto"/>
              <w:ind w:hanging="108"/>
              <w:jc w:val="both"/>
              <w:rPr>
                <w:rFonts w:ascii="Garamond" w:cs="Garamond" w:eastAsia="Garamond" w:hAnsi="Garamond"/>
                <w:b w:val="1"/>
                <w:sz w:val="20"/>
                <w:szCs w:val="20"/>
              </w:rPr>
            </w:pPr>
            <w:r w:rsidDel="00000000" w:rsidR="00000000" w:rsidRPr="00000000">
              <w:rPr>
                <w:rFonts w:ascii="Garamond" w:cs="Garamond" w:eastAsia="Garamond" w:hAnsi="Garamond"/>
                <w:b w:val="1"/>
                <w:sz w:val="20"/>
                <w:szCs w:val="20"/>
                <w:rtl w:val="0"/>
              </w:rPr>
              <w:t xml:space="preserve">Udang-udangan</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44">
            <w:pPr>
              <w:spacing w:line="240" w:lineRule="auto"/>
              <w:jc w:val="right"/>
              <w:rPr>
                <w:rFonts w:ascii="Garamond" w:cs="Garamond" w:eastAsia="Garamond" w:hAnsi="Garamond"/>
                <w:b w:val="1"/>
                <w:sz w:val="20"/>
                <w:szCs w:val="20"/>
              </w:rPr>
            </w:pPr>
            <w:r w:rsidDel="00000000" w:rsidR="00000000" w:rsidRPr="00000000">
              <w:rPr>
                <w:rFonts w:ascii="Garamond" w:cs="Garamond" w:eastAsia="Garamond" w:hAnsi="Garamond"/>
                <w:b w:val="1"/>
                <w:sz w:val="20"/>
                <w:szCs w:val="20"/>
                <w:rtl w:val="0"/>
              </w:rPr>
              <w:t xml:space="preserve">207.704.831.41</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45">
            <w:pPr>
              <w:spacing w:line="240" w:lineRule="auto"/>
              <w:jc w:val="right"/>
              <w:rPr>
                <w:rFonts w:ascii="Garamond" w:cs="Garamond" w:eastAsia="Garamond" w:hAnsi="Garamond"/>
                <w:b w:val="1"/>
                <w:sz w:val="20"/>
                <w:szCs w:val="20"/>
              </w:rPr>
            </w:pPr>
            <w:r w:rsidDel="00000000" w:rsidR="00000000" w:rsidRPr="00000000">
              <w:rPr>
                <w:rFonts w:ascii="Garamond" w:cs="Garamond" w:eastAsia="Garamond" w:hAnsi="Garamond"/>
                <w:b w:val="1"/>
                <w:sz w:val="20"/>
                <w:szCs w:val="20"/>
                <w:rtl w:val="0"/>
              </w:rPr>
              <w:t xml:space="preserve">17,54</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46">
            <w:pPr>
              <w:spacing w:line="240" w:lineRule="auto"/>
              <w:jc w:val="right"/>
              <w:rPr>
                <w:rFonts w:ascii="Garamond" w:cs="Garamond" w:eastAsia="Garamond" w:hAnsi="Garamond"/>
                <w:b w:val="1"/>
                <w:sz w:val="20"/>
                <w:szCs w:val="20"/>
              </w:rPr>
            </w:pPr>
            <w:r w:rsidDel="00000000" w:rsidR="00000000" w:rsidRPr="00000000">
              <w:rPr>
                <w:rFonts w:ascii="Garamond" w:cs="Garamond" w:eastAsia="Garamond" w:hAnsi="Garamond"/>
                <w:b w:val="1"/>
                <w:sz w:val="20"/>
                <w:szCs w:val="20"/>
                <w:rtl w:val="0"/>
              </w:rPr>
              <w:t xml:space="preserve">1.719.197.167.57</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47">
            <w:pPr>
              <w:spacing w:line="240" w:lineRule="auto"/>
              <w:jc w:val="right"/>
              <w:rPr>
                <w:rFonts w:ascii="Garamond" w:cs="Garamond" w:eastAsia="Garamond" w:hAnsi="Garamond"/>
                <w:b w:val="1"/>
                <w:sz w:val="20"/>
                <w:szCs w:val="20"/>
              </w:rPr>
            </w:pPr>
            <w:r w:rsidDel="00000000" w:rsidR="00000000" w:rsidRPr="00000000">
              <w:rPr>
                <w:rFonts w:ascii="Garamond" w:cs="Garamond" w:eastAsia="Garamond" w:hAnsi="Garamond"/>
                <w:b w:val="1"/>
                <w:sz w:val="20"/>
                <w:szCs w:val="20"/>
                <w:rtl w:val="0"/>
              </w:rPr>
              <w:t xml:space="preserve">34,83</w:t>
            </w:r>
          </w:p>
        </w:tc>
      </w:tr>
      <w:tr>
        <w:trPr>
          <w:cantSplit w:val="0"/>
          <w:trHeight w:val="252" w:hRule="atLeast"/>
          <w:tblHeader w:val="0"/>
        </w:trPr>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48">
            <w:pPr>
              <w:spacing w:line="240" w:lineRule="auto"/>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Lainnya</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49">
            <w:pPr>
              <w:spacing w:line="240" w:lineRule="auto"/>
              <w:jc w:val="right"/>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413.329.067.04</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4A">
            <w:pPr>
              <w:spacing w:line="240" w:lineRule="auto"/>
              <w:jc w:val="right"/>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34,90</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4B">
            <w:pPr>
              <w:spacing w:line="240" w:lineRule="auto"/>
              <w:jc w:val="right"/>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1.194.591.107.98</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4C">
            <w:pPr>
              <w:spacing w:line="240" w:lineRule="auto"/>
              <w:jc w:val="right"/>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24,20</w:t>
            </w:r>
          </w:p>
        </w:tc>
      </w:tr>
      <w:tr>
        <w:trPr>
          <w:cantSplit w:val="0"/>
          <w:trHeight w:val="257" w:hRule="atLeast"/>
          <w:tblHeader w:val="0"/>
        </w:trPr>
        <w:tc>
          <w:tcPr>
            <w:gridSpan w:val="5"/>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4D">
            <w:pPr>
              <w:keepNext w:val="1"/>
              <w:spacing w:after="160" w:line="240" w:lineRule="auto"/>
              <w:ind w:left="-108" w:firstLine="0"/>
              <w:rPr>
                <w:rFonts w:ascii="Garamond" w:cs="Garamond" w:eastAsia="Garamond" w:hAnsi="Garamond"/>
                <w:color w:val="ff0000"/>
                <w:sz w:val="24"/>
                <w:szCs w:val="24"/>
              </w:rPr>
            </w:pPr>
            <w:r w:rsidDel="00000000" w:rsidR="00000000" w:rsidRPr="00000000">
              <w:rPr>
                <w:rFonts w:ascii="Garamond" w:cs="Garamond" w:eastAsia="Garamond" w:hAnsi="Garamond"/>
                <w:sz w:val="20"/>
                <w:szCs w:val="20"/>
                <w:rtl w:val="0"/>
              </w:rPr>
              <w:t xml:space="preserve">Sumber : Data KKP, 2019</w:t>
            </w:r>
            <w:r w:rsidDel="00000000" w:rsidR="00000000" w:rsidRPr="00000000">
              <w:rPr>
                <w:rtl w:val="0"/>
              </w:rPr>
            </w:r>
          </w:p>
        </w:tc>
      </w:tr>
    </w:tbl>
    <w:p w:rsidR="00000000" w:rsidDel="00000000" w:rsidP="00000000" w:rsidRDefault="00000000" w:rsidRPr="00000000" w14:paraId="00000052">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Lobster (Panulirus spp.) merupakan salah satu komoditi unggulan yang bernilai ekonomis tinggi, sehingga menjadi salah satu target tangkapan nelayan tradisional. Seiring berjalannya waktu permintaan akan lobster (Panulirus spp.) tidak hanya untuk keperluan konsumsi, akan tetapi juga mencakup benih lobster (Puerulus) yang digunakan untuk keperluan budidaya (Witomo dan Nurlaili 2015).</w:t>
      </w:r>
    </w:p>
    <w:p w:rsidR="00000000" w:rsidDel="00000000" w:rsidP="00000000" w:rsidRDefault="00000000" w:rsidRPr="00000000" w14:paraId="00000053">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Menurut Furqan (2017), produksi lobster (Panulirus spp.) dunia termasuk Indonesia sampai saat ini masih sangat tergantung dari pasokan alam, baik benih maupun ukuran konsumsi. Tingginya permintaan dan harga benih lobster dikhawatirkan akan mengancam keberlanjutan sumberdaya lobster (</w:t>
      </w:r>
      <w:r w:rsidDel="00000000" w:rsidR="00000000" w:rsidRPr="00000000">
        <w:rPr>
          <w:rFonts w:ascii="Times New Roman" w:cs="Times New Roman" w:eastAsia="Times New Roman" w:hAnsi="Times New Roman"/>
          <w:i w:val="1"/>
          <w:sz w:val="24"/>
          <w:szCs w:val="24"/>
          <w:rtl w:val="0"/>
        </w:rPr>
        <w:t xml:space="preserve">Panulirus spp.)</w:t>
      </w:r>
      <w:r w:rsidDel="00000000" w:rsidR="00000000" w:rsidRPr="00000000">
        <w:rPr>
          <w:rFonts w:ascii="Times New Roman" w:cs="Times New Roman" w:eastAsia="Times New Roman" w:hAnsi="Times New Roman"/>
          <w:sz w:val="24"/>
          <w:szCs w:val="24"/>
          <w:rtl w:val="0"/>
        </w:rPr>
        <w:t xml:space="preserve"> karena semakin memicu upaya penangkapan. Oleh karena itu pemerintah membatasi ukuran penangkapan lobster (</w:t>
      </w:r>
      <w:r w:rsidDel="00000000" w:rsidR="00000000" w:rsidRPr="00000000">
        <w:rPr>
          <w:rFonts w:ascii="Times New Roman" w:cs="Times New Roman" w:eastAsia="Times New Roman" w:hAnsi="Times New Roman"/>
          <w:i w:val="1"/>
          <w:sz w:val="24"/>
          <w:szCs w:val="24"/>
          <w:rtl w:val="0"/>
        </w:rPr>
        <w:t xml:space="preserve">Panulirus spp.)</w:t>
      </w:r>
      <w:r w:rsidDel="00000000" w:rsidR="00000000" w:rsidRPr="00000000">
        <w:rPr>
          <w:rFonts w:ascii="Times New Roman" w:cs="Times New Roman" w:eastAsia="Times New Roman" w:hAnsi="Times New Roman"/>
          <w:sz w:val="24"/>
          <w:szCs w:val="24"/>
          <w:rtl w:val="0"/>
        </w:rPr>
        <w:t xml:space="preserve"> dengan mengeluarkan PERMENKP No.56/2016 tentang larangan penangkapan dan/atau pengeluaran lobster (</w:t>
      </w:r>
      <w:r w:rsidDel="00000000" w:rsidR="00000000" w:rsidRPr="00000000">
        <w:rPr>
          <w:rFonts w:ascii="Times New Roman" w:cs="Times New Roman" w:eastAsia="Times New Roman" w:hAnsi="Times New Roman"/>
          <w:i w:val="1"/>
          <w:sz w:val="24"/>
          <w:szCs w:val="24"/>
          <w:rtl w:val="0"/>
        </w:rPr>
        <w:t xml:space="preserve">Panulirus spp</w:t>
      </w:r>
      <w:r w:rsidDel="00000000" w:rsidR="00000000" w:rsidRPr="00000000">
        <w:rPr>
          <w:rFonts w:ascii="Times New Roman" w:cs="Times New Roman" w:eastAsia="Times New Roman" w:hAnsi="Times New Roman"/>
          <w:sz w:val="24"/>
          <w:szCs w:val="24"/>
          <w:rtl w:val="0"/>
        </w:rPr>
        <w:t xml:space="preserve">.). Salah satu poin dalam kebijakan tersebut menjelaskan pelarangan penangkapan dan ekspor lobster </w:t>
      </w:r>
      <w:r w:rsidDel="00000000" w:rsidR="00000000" w:rsidRPr="00000000">
        <w:rPr>
          <w:rFonts w:ascii="Times New Roman" w:cs="Times New Roman" w:eastAsia="Times New Roman" w:hAnsi="Times New Roman"/>
          <w:i w:val="1"/>
          <w:sz w:val="24"/>
          <w:szCs w:val="24"/>
          <w:rtl w:val="0"/>
        </w:rPr>
        <w:t xml:space="preserve">(Panulirus spp.)</w:t>
      </w:r>
      <w:r w:rsidDel="00000000" w:rsidR="00000000" w:rsidRPr="00000000">
        <w:rPr>
          <w:rFonts w:ascii="Times New Roman" w:cs="Times New Roman" w:eastAsia="Times New Roman" w:hAnsi="Times New Roman"/>
          <w:sz w:val="24"/>
          <w:szCs w:val="24"/>
          <w:rtl w:val="0"/>
        </w:rPr>
        <w:t xml:space="preserve"> dengan ukuran tertentu.</w:t>
      </w:r>
    </w:p>
    <w:p w:rsidR="00000000" w:rsidDel="00000000" w:rsidP="00000000" w:rsidRDefault="00000000" w:rsidRPr="00000000" w14:paraId="00000054">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Dibentuknya PERMEN KP No.56/2016 mengakibatkan adanya penangkapan benih lobster secara ilegal. Berdasarkan data dari Kementerian Kelautan dan Perikanan (2019), kasus penyelundupan ekspor benih lobster marak terjadi. Dilihat di Gambar 3, kasus penyelundupan benih lobster mengalami peningkatan pada tahun 2017.</w:t>
      </w:r>
    </w:p>
    <w:p w:rsidR="00000000" w:rsidDel="00000000" w:rsidP="00000000" w:rsidRDefault="00000000" w:rsidRPr="00000000" w14:paraId="00000055">
      <w:pPr>
        <w:spacing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Pada tahun 2020 </w:t>
      </w:r>
      <w:r w:rsidDel="00000000" w:rsidR="00000000" w:rsidRPr="00000000">
        <w:rPr>
          <w:rFonts w:ascii="Times New Roman" w:cs="Times New Roman" w:eastAsia="Times New Roman" w:hAnsi="Times New Roman"/>
          <w:sz w:val="24"/>
          <w:szCs w:val="24"/>
          <w:highlight w:val="white"/>
          <w:rtl w:val="0"/>
        </w:rPr>
        <w:t xml:space="preserve">PERMENKP No.56/2016 direvisi dan diganti dengan PERMENKP </w:t>
      </w:r>
      <w:r w:rsidDel="00000000" w:rsidR="00000000" w:rsidRPr="00000000">
        <w:rPr>
          <w:rFonts w:ascii="Times New Roman" w:cs="Times New Roman" w:eastAsia="Times New Roman" w:hAnsi="Times New Roman"/>
          <w:sz w:val="24"/>
          <w:szCs w:val="24"/>
          <w:rtl w:val="0"/>
        </w:rPr>
        <w:t xml:space="preserve">No.</w:t>
      </w:r>
      <w:r w:rsidDel="00000000" w:rsidR="00000000" w:rsidRPr="00000000">
        <w:rPr>
          <w:rFonts w:ascii="Times New Roman" w:cs="Times New Roman" w:eastAsia="Times New Roman" w:hAnsi="Times New Roman"/>
          <w:sz w:val="24"/>
          <w:szCs w:val="24"/>
          <w:highlight w:val="white"/>
          <w:rtl w:val="0"/>
        </w:rPr>
        <w:t xml:space="preserve">12/2020 tentang pengelolaan lobster (</w:t>
      </w:r>
      <w:r w:rsidDel="00000000" w:rsidR="00000000" w:rsidRPr="00000000">
        <w:rPr>
          <w:rFonts w:ascii="Times New Roman" w:cs="Times New Roman" w:eastAsia="Times New Roman" w:hAnsi="Times New Roman"/>
          <w:i w:val="1"/>
          <w:sz w:val="24"/>
          <w:szCs w:val="24"/>
          <w:highlight w:val="white"/>
          <w:rtl w:val="0"/>
        </w:rPr>
        <w:t xml:space="preserve">Panulirus spp</w:t>
      </w:r>
      <w:r w:rsidDel="00000000" w:rsidR="00000000" w:rsidRPr="00000000">
        <w:rPr>
          <w:rFonts w:ascii="Times New Roman" w:cs="Times New Roman" w:eastAsia="Times New Roman" w:hAnsi="Times New Roman"/>
          <w:sz w:val="24"/>
          <w:szCs w:val="24"/>
          <w:highlight w:val="white"/>
          <w:rtl w:val="0"/>
        </w:rPr>
        <w:t xml:space="preserve">.). Kebijakan tersebut mengizinkan nelayan melakukan penangkapan terhadap benih lobster dan melakukan ekspor dengan beberapa ketentuan. </w:t>
      </w:r>
    </w:p>
    <w:p w:rsidR="00000000" w:rsidDel="00000000" w:rsidP="00000000" w:rsidRDefault="00000000" w:rsidRPr="00000000" w14:paraId="00000056">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pemaparan di atas, maka tujuan yang ingin dicapai dalam penelitian ini yakni: Menganalisis isi kebijakan PERMENKP No.12/2020 tentang pengelolaan lobster (</w:t>
      </w:r>
      <w:r w:rsidDel="00000000" w:rsidR="00000000" w:rsidRPr="00000000">
        <w:rPr>
          <w:rFonts w:ascii="Times New Roman" w:cs="Times New Roman" w:eastAsia="Times New Roman" w:hAnsi="Times New Roman"/>
          <w:i w:val="1"/>
          <w:sz w:val="24"/>
          <w:szCs w:val="24"/>
          <w:rtl w:val="0"/>
        </w:rPr>
        <w:t xml:space="preserve">Panulirus spp.</w:t>
      </w:r>
      <w:r w:rsidDel="00000000" w:rsidR="00000000" w:rsidRPr="00000000">
        <w:rPr>
          <w:rFonts w:ascii="Times New Roman" w:cs="Times New Roman" w:eastAsia="Times New Roman" w:hAnsi="Times New Roman"/>
          <w:sz w:val="24"/>
          <w:szCs w:val="24"/>
          <w:rtl w:val="0"/>
        </w:rPr>
        <w:t xml:space="preserve">). Mengukur tingkat pemahaman dan persepsi nelayan terhadap keberlanjutan sumberdaya lobster, dan sikap nelayan terhadap kebijakan PERMENKP No.12/2020 tentang pengelolaan lobster (</w:t>
      </w:r>
      <w:r w:rsidDel="00000000" w:rsidR="00000000" w:rsidRPr="00000000">
        <w:rPr>
          <w:rFonts w:ascii="Times New Roman" w:cs="Times New Roman" w:eastAsia="Times New Roman" w:hAnsi="Times New Roman"/>
          <w:i w:val="1"/>
          <w:sz w:val="24"/>
          <w:szCs w:val="24"/>
          <w:rtl w:val="0"/>
        </w:rPr>
        <w:t xml:space="preserve">Panulirus spp</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7">
      <w:pPr>
        <w:spacing w:line="240" w:lineRule="auto"/>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8">
      <w:pPr>
        <w:spacing w:line="240" w:lineRule="auto"/>
        <w:jc w:val="both"/>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METODE PENELITIAN </w:t>
      </w:r>
      <w:r w:rsidDel="00000000" w:rsidR="00000000" w:rsidRPr="00000000">
        <w:rPr>
          <w:rtl w:val="0"/>
        </w:rPr>
      </w:r>
    </w:p>
    <w:p w:rsidR="00000000" w:rsidDel="00000000" w:rsidP="00000000" w:rsidRDefault="00000000" w:rsidRPr="00000000" w14:paraId="00000059">
      <w:pPr>
        <w:spacing w:line="24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Metode yang digunakan dalam penelitian ini adalah metode survey. Desain yang digunakan dalam penelitian ini yaitu kualitatif. terdiri atas: </w:t>
      </w:r>
    </w:p>
    <w:p w:rsidR="00000000" w:rsidDel="00000000" w:rsidP="00000000" w:rsidRDefault="00000000" w:rsidRPr="00000000" w14:paraId="0000005A">
      <w:pPr>
        <w:numPr>
          <w:ilvl w:val="0"/>
          <w:numId w:val="5"/>
        </w:numPr>
        <w:spacing w:line="240" w:lineRule="auto"/>
        <w:ind w:left="720" w:hanging="360"/>
        <w:jc w:val="both"/>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Tempat dan Waktu Penelitian</w:t>
      </w:r>
    </w:p>
    <w:p w:rsidR="00000000" w:rsidDel="00000000" w:rsidP="00000000" w:rsidRDefault="00000000" w:rsidRPr="00000000" w14:paraId="0000005B">
      <w:pPr>
        <w:spacing w:line="24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Penelitian ini dilaksanakan di Kecamatan Cidaun Kabupaten Cianjur dengan objek penelitian yaitu pelaku perikanan yang melakukan kegiatan penangkapan lobster. Adapun waktu penelitian ini dilaksanakan pada bulan November 2020 – Maret 2021 , dengan  rincian penelitian sebagai berikut: </w:t>
      </w:r>
    </w:p>
    <w:p w:rsidR="00000000" w:rsidDel="00000000" w:rsidP="00000000" w:rsidRDefault="00000000" w:rsidRPr="00000000" w14:paraId="0000005C">
      <w:pPr>
        <w:numPr>
          <w:ilvl w:val="0"/>
          <w:numId w:val="5"/>
        </w:numPr>
        <w:spacing w:line="240" w:lineRule="auto"/>
        <w:ind w:left="720" w:hanging="360"/>
        <w:jc w:val="both"/>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Jenis Penelitian</w:t>
      </w:r>
    </w:p>
    <w:p w:rsidR="00000000" w:rsidDel="00000000" w:rsidP="00000000" w:rsidRDefault="00000000" w:rsidRPr="00000000" w14:paraId="0000005D">
      <w:pPr>
        <w:spacing w:line="24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Jenis penelitian ini merupakan deskriptif kualitatif.</w:t>
      </w:r>
    </w:p>
    <w:p w:rsidR="00000000" w:rsidDel="00000000" w:rsidP="00000000" w:rsidRDefault="00000000" w:rsidRPr="00000000" w14:paraId="0000005E">
      <w:pPr>
        <w:spacing w:line="24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Teknik Penarikan Sampel</w:t>
      </w:r>
    </w:p>
    <w:p w:rsidR="00000000" w:rsidDel="00000000" w:rsidP="00000000" w:rsidRDefault="00000000" w:rsidRPr="00000000" w14:paraId="0000005F">
      <w:pPr>
        <w:spacing w:line="24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Pelaku perikanan yaitu nelayan, bakul, pengepul, dan petugas UPTD (Unit Pelaksana Teknis Dinas)</w:t>
      </w:r>
    </w:p>
    <w:p w:rsidR="00000000" w:rsidDel="00000000" w:rsidP="00000000" w:rsidRDefault="00000000" w:rsidRPr="00000000" w14:paraId="00000060">
      <w:pPr>
        <w:numPr>
          <w:ilvl w:val="0"/>
          <w:numId w:val="5"/>
        </w:numPr>
        <w:spacing w:line="240" w:lineRule="auto"/>
        <w:ind w:left="720" w:hanging="360"/>
        <w:jc w:val="both"/>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Teknik Pengumpulan Data</w:t>
      </w:r>
    </w:p>
    <w:p w:rsidR="00000000" w:rsidDel="00000000" w:rsidP="00000000" w:rsidRDefault="00000000" w:rsidRPr="00000000" w14:paraId="00000061">
      <w:pPr>
        <w:spacing w:line="24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Data primer diperoleh melalui pengamatan dan wawancara secara langsung kepada para pelaku perikanan (Nelayan, Bakul, Tengkulak, dan Pihak UPTD)</w:t>
      </w:r>
    </w:p>
    <w:p w:rsidR="00000000" w:rsidDel="00000000" w:rsidP="00000000" w:rsidRDefault="00000000" w:rsidRPr="00000000" w14:paraId="00000062">
      <w:pPr>
        <w:numPr>
          <w:ilvl w:val="0"/>
          <w:numId w:val="5"/>
        </w:numPr>
        <w:spacing w:line="240" w:lineRule="auto"/>
        <w:ind w:left="720" w:hanging="360"/>
        <w:jc w:val="both"/>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Rancangan Analisis Data</w:t>
      </w:r>
    </w:p>
    <w:p w:rsidR="00000000" w:rsidDel="00000000" w:rsidP="00000000" w:rsidRDefault="00000000" w:rsidRPr="00000000" w14:paraId="00000063">
      <w:pPr>
        <w:numPr>
          <w:ilvl w:val="0"/>
          <w:numId w:val="7"/>
        </w:numPr>
        <w:spacing w:line="240" w:lineRule="auto"/>
        <w:ind w:left="720" w:hanging="360"/>
        <w:jc w:val="both"/>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Analisis Kebijakan </w:t>
      </w:r>
    </w:p>
    <w:p w:rsidR="00000000" w:rsidDel="00000000" w:rsidP="00000000" w:rsidRDefault="00000000" w:rsidRPr="00000000" w14:paraId="00000064">
      <w:pPr>
        <w:spacing w:line="24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Analisis kebijakan dilakukan dengan menilai peraturan perundangan-undangan yang ada berdasarkan mandat, implementasi, dan kendala atau kelemahan yang dihadapi di lapangan dalam penerapan peraturan perundangan-undangan. Hasil analisis tersebut kemudian ditabulasikan ke dalam bentuk tabel dan dibahas secara deskriptif. </w:t>
      </w:r>
    </w:p>
    <w:p w:rsidR="00000000" w:rsidDel="00000000" w:rsidP="00000000" w:rsidRDefault="00000000" w:rsidRPr="00000000" w14:paraId="00000065">
      <w:pPr>
        <w:numPr>
          <w:ilvl w:val="0"/>
          <w:numId w:val="7"/>
        </w:numPr>
        <w:spacing w:line="240" w:lineRule="auto"/>
        <w:ind w:left="720" w:hanging="360"/>
        <w:jc w:val="both"/>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Tingkat pemahaman dan persepsi nelayan</w:t>
      </w:r>
    </w:p>
    <w:p w:rsidR="00000000" w:rsidDel="00000000" w:rsidP="00000000" w:rsidRDefault="00000000" w:rsidRPr="00000000" w14:paraId="00000066">
      <w:pPr>
        <w:spacing w:line="24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Tingkat pemahaman dan persepsi nelayan akan dianalisis secara deskriptif, hasil penelitian bersumber dari wawancara mendalam dengan pelaku perikanan yaitu nelayan, bakul, pengepul, dan petugas UPTD (Unit Pelaksana Teknis Dinas).</w:t>
      </w:r>
    </w:p>
    <w:p w:rsidR="00000000" w:rsidDel="00000000" w:rsidP="00000000" w:rsidRDefault="00000000" w:rsidRPr="00000000" w14:paraId="00000067">
      <w:pPr>
        <w:spacing w:line="240" w:lineRule="auto"/>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68">
      <w:pPr>
        <w:spacing w:line="240" w:lineRule="auto"/>
        <w:jc w:val="both"/>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HASIL DAN PEMBAHASAN</w:t>
      </w:r>
      <w:r w:rsidDel="00000000" w:rsidR="00000000" w:rsidRPr="00000000">
        <w:rPr>
          <w:rtl w:val="0"/>
        </w:rPr>
      </w:r>
    </w:p>
    <w:p w:rsidR="00000000" w:rsidDel="00000000" w:rsidP="00000000" w:rsidRDefault="00000000" w:rsidRPr="00000000" w14:paraId="00000069">
      <w:pPr>
        <w:spacing w:line="240" w:lineRule="auto"/>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6A">
      <w:pPr>
        <w:numPr>
          <w:ilvl w:val="0"/>
          <w:numId w:val="2"/>
        </w:numPr>
        <w:spacing w:line="240" w:lineRule="auto"/>
        <w:ind w:left="720"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Analisis Kebijakan</w:t>
      </w:r>
      <w:r w:rsidDel="00000000" w:rsidR="00000000" w:rsidRPr="00000000">
        <w:rPr>
          <w:rtl w:val="0"/>
        </w:rPr>
      </w:r>
    </w:p>
    <w:tbl>
      <w:tblPr>
        <w:tblStyle w:val="Table3"/>
        <w:tblW w:w="900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23"/>
        <w:gridCol w:w="2310"/>
        <w:gridCol w:w="3071"/>
        <w:tblGridChange w:id="0">
          <w:tblGrid>
            <w:gridCol w:w="3623"/>
            <w:gridCol w:w="2310"/>
            <w:gridCol w:w="3071"/>
          </w:tblGrid>
        </w:tblGridChange>
      </w:tblGrid>
      <w:tr>
        <w:trPr>
          <w:cantSplit w:val="0"/>
          <w:trHeight w:val="274" w:hRule="atLeast"/>
          <w:tblHeader w:val="1"/>
        </w:trPr>
        <w:tc>
          <w:tcPr>
            <w:gridSpan w:val="3"/>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6B">
            <w:pPr>
              <w:spacing w:after="200" w:line="240" w:lineRule="auto"/>
              <w:ind w:left="1134"/>
              <w:jc w:val="both"/>
              <w:rPr>
                <w:rFonts w:ascii="Times New Roman" w:cs="Times New Roman" w:eastAsia="Times New Roman" w:hAnsi="Times New Roman"/>
                <w:b w:val="1"/>
                <w:sz w:val="24"/>
                <w:szCs w:val="24"/>
              </w:rPr>
            </w:pPr>
            <w:bookmarkStart w:colFirst="0" w:colLast="0" w:name="_1fob9te" w:id="1"/>
            <w:bookmarkEnd w:id="1"/>
            <w:r w:rsidDel="00000000" w:rsidR="00000000" w:rsidRPr="00000000">
              <w:rPr>
                <w:rFonts w:ascii="Times New Roman" w:cs="Times New Roman" w:eastAsia="Times New Roman" w:hAnsi="Times New Roman"/>
                <w:sz w:val="24"/>
                <w:szCs w:val="24"/>
                <w:rtl w:val="0"/>
              </w:rPr>
              <w:t xml:space="preserve">Tabel 17. Analisis Isi Kebijakan PERMENKP No.12/2020 Terkait Perikanan Lobster dan Implementasi Serta Kendalanya di Kecamatan Cidaun</w:t>
            </w:r>
            <w:r w:rsidDel="00000000" w:rsidR="00000000" w:rsidRPr="00000000">
              <w:rPr>
                <w:rtl w:val="0"/>
              </w:rPr>
            </w:r>
          </w:p>
        </w:tc>
      </w:tr>
      <w:tr>
        <w:trPr>
          <w:cantSplit w:val="0"/>
          <w:trHeight w:val="274" w:hRule="atLeast"/>
          <w:tblHeader w:val="1"/>
        </w:trPr>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6E">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Mandat</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6F">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Implementasi</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70">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Realisasi</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7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Pasal 2</w:t>
            </w:r>
          </w:p>
          <w:p w:rsidR="00000000" w:rsidDel="00000000" w:rsidP="00000000" w:rsidRDefault="00000000" w:rsidRPr="00000000" w14:paraId="0000007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Penangkapan dan/atau pengeluaran Lobster (</w:t>
            </w:r>
            <w:r w:rsidDel="00000000" w:rsidR="00000000" w:rsidRPr="00000000">
              <w:rPr>
                <w:rFonts w:ascii="Times New Roman" w:cs="Times New Roman" w:eastAsia="Times New Roman" w:hAnsi="Times New Roman"/>
                <w:i w:val="1"/>
                <w:sz w:val="24"/>
                <w:szCs w:val="24"/>
                <w:rtl w:val="0"/>
              </w:rPr>
              <w:t xml:space="preserve">Panulirus spp</w:t>
            </w:r>
            <w:r w:rsidDel="00000000" w:rsidR="00000000" w:rsidRPr="00000000">
              <w:rPr>
                <w:rFonts w:ascii="Times New Roman" w:cs="Times New Roman" w:eastAsia="Times New Roman" w:hAnsi="Times New Roman"/>
                <w:sz w:val="24"/>
                <w:szCs w:val="24"/>
                <w:rtl w:val="0"/>
              </w:rPr>
              <w:t xml:space="preserve">.) di atau dari wilayah Negara Republik Indonesia hanya dapat dilakukan dengan ketentuan: </w:t>
            </w:r>
          </w:p>
          <w:p w:rsidR="00000000" w:rsidDel="00000000" w:rsidP="00000000" w:rsidRDefault="00000000" w:rsidRPr="00000000" w14:paraId="00000073">
            <w:pPr>
              <w:numPr>
                <w:ilvl w:val="0"/>
                <w:numId w:val="8"/>
              </w:numPr>
              <w:spacing w:line="240" w:lineRule="auto"/>
              <w:ind w:left="720" w:hanging="360"/>
              <w:rPr>
                <w:rFonts w:ascii="Calibri" w:cs="Calibri" w:eastAsia="Calibri" w:hAnsi="Calibri"/>
              </w:rPr>
            </w:pPr>
            <w:r w:rsidDel="00000000" w:rsidR="00000000" w:rsidRPr="00000000">
              <w:rPr>
                <w:rFonts w:ascii="Times New Roman" w:cs="Times New Roman" w:eastAsia="Times New Roman" w:hAnsi="Times New Roman"/>
                <w:sz w:val="24"/>
                <w:szCs w:val="24"/>
                <w:rtl w:val="0"/>
              </w:rPr>
              <w:t xml:space="preserve">Tidak dalam kondisi bertelur yang terlihat pada abdomen luar dan ukuran panjang karapas diatas 6 (enam) cm atau berat diatas 150 (seratus lima puluh) gram per ekor untuk lobster pasir (</w:t>
            </w:r>
            <w:r w:rsidDel="00000000" w:rsidR="00000000" w:rsidRPr="00000000">
              <w:rPr>
                <w:rFonts w:ascii="Times New Roman" w:cs="Times New Roman" w:eastAsia="Times New Roman" w:hAnsi="Times New Roman"/>
                <w:i w:val="1"/>
                <w:sz w:val="24"/>
                <w:szCs w:val="24"/>
                <w:rtl w:val="0"/>
              </w:rPr>
              <w:t xml:space="preserve">Panulirus homarus</w:t>
            </w:r>
            <w:r w:rsidDel="00000000" w:rsidR="00000000" w:rsidRPr="00000000">
              <w:rPr>
                <w:rFonts w:ascii="Times New Roman" w:cs="Times New Roman" w:eastAsia="Times New Roman" w:hAnsi="Times New Roman"/>
                <w:sz w:val="24"/>
                <w:szCs w:val="24"/>
                <w:rtl w:val="0"/>
              </w:rPr>
              <w:t xml:space="preserve">); atau </w:t>
            </w:r>
          </w:p>
          <w:p w:rsidR="00000000" w:rsidDel="00000000" w:rsidP="00000000" w:rsidRDefault="00000000" w:rsidRPr="00000000" w14:paraId="00000074">
            <w:pPr>
              <w:numPr>
                <w:ilvl w:val="0"/>
                <w:numId w:val="8"/>
              </w:numPr>
              <w:spacing w:line="240" w:lineRule="auto"/>
              <w:ind w:left="720" w:hanging="360"/>
              <w:rPr>
                <w:rFonts w:ascii="Calibri" w:cs="Calibri" w:eastAsia="Calibri" w:hAnsi="Calibri"/>
              </w:rPr>
            </w:pPr>
            <w:r w:rsidDel="00000000" w:rsidR="00000000" w:rsidRPr="00000000">
              <w:rPr>
                <w:rFonts w:ascii="Times New Roman" w:cs="Times New Roman" w:eastAsia="Times New Roman" w:hAnsi="Times New Roman"/>
                <w:sz w:val="24"/>
                <w:szCs w:val="24"/>
                <w:rtl w:val="0"/>
              </w:rPr>
              <w:t xml:space="preserve">Tidak dalam kondisi bertelur yang terlihat pada abdomen luar dan ukuran panjang karapas diatas 8(delapan) cm atau berat diatas 200 (dua ratus) gram per ekor untuk lobster jenis lainnya</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7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Aktifitas sosialisasi dan pengawasan yang dilakukan pihak UPTD</w:t>
            </w:r>
          </w:p>
          <w:p w:rsidR="00000000" w:rsidDel="00000000" w:rsidP="00000000" w:rsidRDefault="00000000" w:rsidRPr="00000000" w14:paraId="00000076">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77">
            <w:pPr>
              <w:numPr>
                <w:ilvl w:val="0"/>
                <w:numId w:val="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Secara umum pembahasan pasal 2 tidak disebutkan kepada siapa aturan tersebut ditujukan</w:t>
            </w:r>
          </w:p>
          <w:p w:rsidR="00000000" w:rsidDel="00000000" w:rsidP="00000000" w:rsidRDefault="00000000" w:rsidRPr="00000000" w14:paraId="00000078">
            <w:pPr>
              <w:numPr>
                <w:ilvl w:val="0"/>
                <w:numId w:val="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Kegiatan sosialisasi dan pengawasan dilakukan tidak efektif dilihat dari banyak nelayan yang tidak menerima sosialisasi mengenai kondisi lobster yang boleh dan tidak boleh ditangkap</w:t>
            </w:r>
          </w:p>
          <w:p w:rsidR="00000000" w:rsidDel="00000000" w:rsidP="00000000" w:rsidRDefault="00000000" w:rsidRPr="00000000" w14:paraId="00000079">
            <w:pPr>
              <w:numPr>
                <w:ilvl w:val="0"/>
                <w:numId w:val="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Kegiatan penangkapan terhadap seluruh ukuran lobster terus dilakukan tanpa ada tindak lanjut dari pihak petugas setempat </w:t>
            </w:r>
          </w:p>
          <w:p w:rsidR="00000000" w:rsidDel="00000000" w:rsidP="00000000" w:rsidRDefault="00000000" w:rsidRPr="00000000" w14:paraId="0000007A">
            <w:pPr>
              <w:numPr>
                <w:ilvl w:val="0"/>
                <w:numId w:val="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Yang melatarbelakangi penangkapan tersebut adalah setiap ukuran lobster memiliki harga yang berbeda</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7B">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Pasal 3</w:t>
            </w:r>
          </w:p>
          <w:p w:rsidR="00000000" w:rsidDel="00000000" w:rsidP="00000000" w:rsidRDefault="00000000" w:rsidRPr="00000000" w14:paraId="0000007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Penangkapan dan/atau pengeluaran Benih bening lobster (puerulus) dan/atau lobster muda untuk Pembudidayaan di dalam negeri hanya dapat dilakukan dengan ketentuan: </w:t>
            </w:r>
          </w:p>
          <w:p w:rsidR="00000000" w:rsidDel="00000000" w:rsidP="00000000" w:rsidRDefault="00000000" w:rsidRPr="00000000" w14:paraId="0000007F">
            <w:pPr>
              <w:numPr>
                <w:ilvl w:val="0"/>
                <w:numId w:val="11"/>
              </w:numPr>
              <w:spacing w:line="240" w:lineRule="auto"/>
              <w:ind w:left="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Kuota dan lokasi penangkapan benih bening lobster (puerulus) sesuai hasil kajian dari Komnas KAJISKAN; </w:t>
            </w:r>
          </w:p>
          <w:p w:rsidR="00000000" w:rsidDel="00000000" w:rsidP="00000000" w:rsidRDefault="00000000" w:rsidRPr="00000000" w14:paraId="00000080">
            <w:pPr>
              <w:numPr>
                <w:ilvl w:val="0"/>
                <w:numId w:val="11"/>
              </w:numPr>
              <w:spacing w:line="240" w:lineRule="auto"/>
              <w:ind w:left="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Penangkapan benih bening lobster (puerulus) dan/atau lobster muda dilakukan oleh nelayan kecil yang terdaftar dalam kelompok nelayan di lokasi penangkapan; </w:t>
            </w:r>
          </w:p>
          <w:p w:rsidR="00000000" w:rsidDel="00000000" w:rsidP="00000000" w:rsidRDefault="00000000" w:rsidRPr="00000000" w14:paraId="00000081">
            <w:pPr>
              <w:numPr>
                <w:ilvl w:val="0"/>
                <w:numId w:val="11"/>
              </w:numPr>
              <w:spacing w:line="240" w:lineRule="auto"/>
              <w:ind w:left="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Penangkapan benih bening lobster (puerulus) dan/atau lobster muda harus dilakukan dengan menggunakan alat penangkapan ikan yang bersifat statis; </w:t>
            </w:r>
          </w:p>
          <w:p w:rsidR="00000000" w:rsidDel="00000000" w:rsidP="00000000" w:rsidRDefault="00000000" w:rsidRPr="00000000" w14:paraId="00000082">
            <w:pPr>
              <w:numPr>
                <w:ilvl w:val="0"/>
                <w:numId w:val="11"/>
              </w:numPr>
              <w:spacing w:line="240" w:lineRule="auto"/>
              <w:ind w:left="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Pembudidayaan harus dilaksanakan di: </w:t>
            </w:r>
          </w:p>
          <w:p w:rsidR="00000000" w:rsidDel="00000000" w:rsidP="00000000" w:rsidRDefault="00000000" w:rsidRPr="00000000" w14:paraId="00000083">
            <w:pPr>
              <w:numPr>
                <w:ilvl w:val="0"/>
                <w:numId w:val="9"/>
              </w:numPr>
              <w:spacing w:line="240" w:lineRule="auto"/>
              <w:ind w:left="567" w:hanging="28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Provinsi yang sama dengan wilayah perairan tempat penangkapan;</w:t>
            </w:r>
          </w:p>
          <w:p w:rsidR="00000000" w:rsidDel="00000000" w:rsidP="00000000" w:rsidRDefault="00000000" w:rsidRPr="00000000" w14:paraId="00000084">
            <w:pPr>
              <w:numPr>
                <w:ilvl w:val="0"/>
                <w:numId w:val="9"/>
              </w:numPr>
              <w:spacing w:line="240" w:lineRule="auto"/>
              <w:ind w:left="567" w:hanging="28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Lokasi yang sesuai dengan Rencana Zonasi;</w:t>
            </w:r>
          </w:p>
          <w:p w:rsidR="00000000" w:rsidDel="00000000" w:rsidP="00000000" w:rsidRDefault="00000000" w:rsidRPr="00000000" w14:paraId="00000085">
            <w:pPr>
              <w:numPr>
                <w:ilvl w:val="0"/>
                <w:numId w:val="11"/>
              </w:numPr>
              <w:spacing w:line="240" w:lineRule="auto"/>
              <w:ind w:left="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Pembudi daya harus melepasliarkan lobster (panulirus spp.), sebanyak 2 (dua) persen dari hasil panen lobster (panulirus spp.) yang dibesarkan; </w:t>
            </w:r>
          </w:p>
          <w:p w:rsidR="00000000" w:rsidDel="00000000" w:rsidP="00000000" w:rsidRDefault="00000000" w:rsidRPr="00000000" w14:paraId="00000086">
            <w:pPr>
              <w:numPr>
                <w:ilvl w:val="0"/>
                <w:numId w:val="11"/>
              </w:numPr>
              <w:spacing w:line="240" w:lineRule="auto"/>
              <w:ind w:left="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Ukuran lobster (panulirus spp.) yang dilepasliarkan sebagaimana dimaksud pada huruf e disesuaikan dengan ukuran lobster (panulirus spp.) hasil panen; </w:t>
            </w:r>
          </w:p>
          <w:p w:rsidR="00000000" w:rsidDel="00000000" w:rsidP="00000000" w:rsidRDefault="00000000" w:rsidRPr="00000000" w14:paraId="00000087">
            <w:pPr>
              <w:numPr>
                <w:ilvl w:val="0"/>
                <w:numId w:val="11"/>
              </w:numPr>
              <w:spacing w:line="240" w:lineRule="auto"/>
              <w:ind w:left="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Pelepasliaran lobster (panulirus spp.) dilakukan di wilayah perairan tempat pengambilan benih bening lobster (puerulus) dan/atau lobster muda atau di perairan lain sesuai rekomendasi;</w:t>
            </w:r>
          </w:p>
          <w:p w:rsidR="00000000" w:rsidDel="00000000" w:rsidP="00000000" w:rsidRDefault="00000000" w:rsidRPr="00000000" w14:paraId="00000088">
            <w:pPr>
              <w:numPr>
                <w:ilvl w:val="0"/>
                <w:numId w:val="11"/>
              </w:numPr>
              <w:spacing w:line="240" w:lineRule="auto"/>
              <w:ind w:left="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Pelepasliaran lobster (panulirus spp.) dilakukan oleh pembudi daya yang dilengkapi berita acara; </w:t>
            </w:r>
          </w:p>
          <w:p w:rsidR="00000000" w:rsidDel="00000000" w:rsidP="00000000" w:rsidRDefault="00000000" w:rsidRPr="00000000" w14:paraId="00000089">
            <w:pPr>
              <w:numPr>
                <w:ilvl w:val="0"/>
                <w:numId w:val="11"/>
              </w:numPr>
              <w:spacing w:line="240" w:lineRule="auto"/>
              <w:ind w:left="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Nelayan kecil penangkap benih bening lobster (puerulus) dan/atau lobster muda ditetapkan oleh direktorat jenderal yang menyelenggarakan tugas dan fungsi di bidang perikanan tangkap; dan </w:t>
            </w:r>
          </w:p>
          <w:p w:rsidR="00000000" w:rsidDel="00000000" w:rsidP="00000000" w:rsidRDefault="00000000" w:rsidRPr="00000000" w14:paraId="0000008A">
            <w:pPr>
              <w:numPr>
                <w:ilvl w:val="0"/>
                <w:numId w:val="11"/>
              </w:numPr>
              <w:spacing w:line="240" w:lineRule="auto"/>
              <w:ind w:left="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Pembudi daya ditetapkan oleh direktorat jenderal yang menyelenggarakan tugas dan fungsi di bidang perikanan budidaya.</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8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numPr>
                <w:ilvl w:val="0"/>
                <w:numId w:val="1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Sosialisasi terhadap nelayan dan pelaku perikanan lain di kawasan perairan Kecamatan Cidaun;</w:t>
            </w:r>
          </w:p>
          <w:p w:rsidR="00000000" w:rsidDel="00000000" w:rsidP="00000000" w:rsidRDefault="00000000" w:rsidRPr="00000000" w14:paraId="0000008E">
            <w:pPr>
              <w:numPr>
                <w:ilvl w:val="0"/>
                <w:numId w:val="1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Upaya pengawasan terhadap nelayan dan pelaku perikanan lain di kawasan perairan Kecamatan Cidaun;</w:t>
            </w:r>
          </w:p>
          <w:p w:rsidR="00000000" w:rsidDel="00000000" w:rsidP="00000000" w:rsidRDefault="00000000" w:rsidRPr="00000000" w14:paraId="0000008F">
            <w:pPr>
              <w:numPr>
                <w:ilvl w:val="0"/>
                <w:numId w:val="1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Upaya memberikan kemudahan untuk pembudi daya dalam perizinana pembentukan tempat budidaya lobster</w:t>
            </w:r>
          </w:p>
          <w:p w:rsidR="00000000" w:rsidDel="00000000" w:rsidP="00000000" w:rsidRDefault="00000000" w:rsidRPr="00000000" w14:paraId="00000090">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9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Penentuan kuota dan lokasi berdasarkan kemampuan nelayan belum mengikut kajian dari komnas KAJISKAN;</w:t>
            </w:r>
          </w:p>
          <w:p w:rsidR="00000000" w:rsidDel="00000000" w:rsidP="00000000" w:rsidRDefault="00000000" w:rsidRPr="00000000" w14:paraId="00000094">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Nelayan yang melakukan penangkapan lobster tidak sesuai dengan ketentuan bahwa nelayan kecil penangkap benih bening lobster (</w:t>
            </w:r>
            <w:r w:rsidDel="00000000" w:rsidR="00000000" w:rsidRPr="00000000">
              <w:rPr>
                <w:rFonts w:ascii="Times New Roman" w:cs="Times New Roman" w:eastAsia="Times New Roman" w:hAnsi="Times New Roman"/>
                <w:i w:val="1"/>
                <w:sz w:val="24"/>
                <w:szCs w:val="24"/>
                <w:rtl w:val="0"/>
              </w:rPr>
              <w:t xml:space="preserve">puerulus</w:t>
            </w:r>
            <w:r w:rsidDel="00000000" w:rsidR="00000000" w:rsidRPr="00000000">
              <w:rPr>
                <w:rFonts w:ascii="Times New Roman" w:cs="Times New Roman" w:eastAsia="Times New Roman" w:hAnsi="Times New Roman"/>
                <w:sz w:val="24"/>
                <w:szCs w:val="24"/>
                <w:rtl w:val="0"/>
              </w:rPr>
              <w:t xml:space="preserve">) dan/atau lobster muda ditetapkan oleh direktorat jenderal yang menyelenggarakan tugas dan fungsi di bidang perikanan tangkap;</w:t>
            </w:r>
          </w:p>
          <w:p w:rsidR="00000000" w:rsidDel="00000000" w:rsidP="00000000" w:rsidRDefault="00000000" w:rsidRPr="00000000" w14:paraId="00000095">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Kegiatan penangkapan benih dan lobster konsumsi dilakukan dengan menggunakan alat penangkapan yang bersifat statis;</w:t>
            </w:r>
          </w:p>
          <w:p w:rsidR="00000000" w:rsidDel="00000000" w:rsidP="00000000" w:rsidRDefault="00000000" w:rsidRPr="00000000" w14:paraId="00000096">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Kegiatan budidaya belum efektif sehingga setiap aktifitas budidaya yang diatur dalam pasal 3 belum terlaksana;</w:t>
            </w:r>
          </w:p>
          <w:p w:rsidR="00000000" w:rsidDel="00000000" w:rsidP="00000000" w:rsidRDefault="00000000" w:rsidRPr="00000000" w14:paraId="00000097">
            <w:pPr>
              <w:numPr>
                <w:ilvl w:val="0"/>
                <w:numId w:val="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Kegiatan pelepasliaran tidak dilakukan dengan baik dikarenakan kegiatan budidaya yang belum efektif;</w:t>
            </w:r>
          </w:p>
          <w:p w:rsidR="00000000" w:rsidDel="00000000" w:rsidP="00000000" w:rsidRDefault="00000000" w:rsidRPr="00000000" w14:paraId="00000098">
            <w:pPr>
              <w:numPr>
                <w:ilvl w:val="0"/>
                <w:numId w:val="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Tempat budidaya lobster di Kecamatan Cidaun terlihat seperti sekedar syarat untuk mendapatkan izin melakukan aktivitas penangkapan Benih Lobster;</w:t>
            </w:r>
          </w:p>
          <w:p w:rsidR="00000000" w:rsidDel="00000000" w:rsidP="00000000" w:rsidRDefault="00000000" w:rsidRPr="00000000" w14:paraId="0000009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Dalam kebijakan tidak di sertakan ketentuan atau aturan untuk pelaku perikanan lain selain nelayan, sementara pelaku perikanan seperti tengkulak, bakul, dan pedagang turut andil dalam aktifitas pengelolaan lobster di Kecamatan Cidaun</w:t>
            </w:r>
          </w:p>
        </w:tc>
      </w:tr>
      <w:tr>
        <w:trPr>
          <w:cantSplit w:val="0"/>
          <w:trHeight w:val="5143"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9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Pasal 5</w:t>
            </w:r>
          </w:p>
          <w:p w:rsidR="00000000" w:rsidDel="00000000" w:rsidP="00000000" w:rsidRDefault="00000000" w:rsidRPr="00000000" w14:paraId="0000009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numPr>
                <w:ilvl w:val="0"/>
                <w:numId w:val="4"/>
              </w:numPr>
              <w:spacing w:line="240" w:lineRule="auto"/>
              <w:ind w:left="284"/>
              <w:jc w:val="both"/>
              <w:rPr>
                <w:rFonts w:ascii="Calibri" w:cs="Calibri" w:eastAsia="Calibri" w:hAnsi="Calibri"/>
              </w:rPr>
            </w:pPr>
            <w:r w:rsidDel="00000000" w:rsidR="00000000" w:rsidRPr="00000000">
              <w:rPr>
                <w:rFonts w:ascii="Times New Roman" w:cs="Times New Roman" w:eastAsia="Times New Roman" w:hAnsi="Times New Roman"/>
                <w:sz w:val="24"/>
                <w:szCs w:val="24"/>
                <w:rtl w:val="0"/>
              </w:rPr>
              <w:t xml:space="preserve">Penangkapan benih bening lobster (</w:t>
            </w:r>
            <w:r w:rsidDel="00000000" w:rsidR="00000000" w:rsidRPr="00000000">
              <w:rPr>
                <w:rFonts w:ascii="Times New Roman" w:cs="Times New Roman" w:eastAsia="Times New Roman" w:hAnsi="Times New Roman"/>
                <w:i w:val="1"/>
                <w:sz w:val="24"/>
                <w:szCs w:val="24"/>
                <w:rtl w:val="0"/>
              </w:rPr>
              <w:t xml:space="preserve">puerulus</w:t>
            </w:r>
            <w:r w:rsidDel="00000000" w:rsidR="00000000" w:rsidRPr="00000000">
              <w:rPr>
                <w:rFonts w:ascii="Times New Roman" w:cs="Times New Roman" w:eastAsia="Times New Roman" w:hAnsi="Times New Roman"/>
                <w:sz w:val="24"/>
                <w:szCs w:val="24"/>
                <w:rtl w:val="0"/>
              </w:rPr>
              <w:t xml:space="preserve">) harus dilakukan dengan menggunakan alat penangkapan ikan yang bersifat pasif; </w:t>
            </w:r>
          </w:p>
          <w:p w:rsidR="00000000" w:rsidDel="00000000" w:rsidP="00000000" w:rsidRDefault="00000000" w:rsidRPr="00000000" w14:paraId="0000009D">
            <w:pPr>
              <w:numPr>
                <w:ilvl w:val="0"/>
                <w:numId w:val="3"/>
              </w:numPr>
              <w:spacing w:line="240" w:lineRule="auto"/>
              <w:ind w:left="284" w:hanging="426"/>
              <w:jc w:val="both"/>
              <w:rPr>
                <w:rFonts w:ascii="Calibri" w:cs="Calibri" w:eastAsia="Calibri" w:hAnsi="Calibri"/>
              </w:rPr>
            </w:pPr>
            <w:r w:rsidDel="00000000" w:rsidR="00000000" w:rsidRPr="00000000">
              <w:rPr>
                <w:rFonts w:ascii="Times New Roman" w:cs="Times New Roman" w:eastAsia="Times New Roman" w:hAnsi="Times New Roman"/>
                <w:sz w:val="24"/>
                <w:szCs w:val="24"/>
                <w:rtl w:val="0"/>
              </w:rPr>
              <w:t xml:space="preserve">Harga patokan terendah benih bening lobster (</w:t>
            </w:r>
            <w:r w:rsidDel="00000000" w:rsidR="00000000" w:rsidRPr="00000000">
              <w:rPr>
                <w:rFonts w:ascii="Times New Roman" w:cs="Times New Roman" w:eastAsia="Times New Roman" w:hAnsi="Times New Roman"/>
                <w:i w:val="1"/>
                <w:sz w:val="24"/>
                <w:szCs w:val="24"/>
                <w:rtl w:val="0"/>
              </w:rPr>
              <w:t xml:space="preserve">puerulus</w:t>
            </w:r>
            <w:r w:rsidDel="00000000" w:rsidR="00000000" w:rsidRPr="00000000">
              <w:rPr>
                <w:rFonts w:ascii="Times New Roman" w:cs="Times New Roman" w:eastAsia="Times New Roman" w:hAnsi="Times New Roman"/>
                <w:sz w:val="24"/>
                <w:szCs w:val="24"/>
                <w:rtl w:val="0"/>
              </w:rPr>
              <w:t xml:space="preserve">) di nelayan ditetapkan oleh direktorat jenderal yang menyelenggarakan tugas dan fungsi dibidang perikanan tangkap. </w:t>
            </w:r>
          </w:p>
          <w:p w:rsidR="00000000" w:rsidDel="00000000" w:rsidP="00000000" w:rsidRDefault="00000000" w:rsidRPr="00000000" w14:paraId="0000009E">
            <w:pPr>
              <w:numPr>
                <w:ilvl w:val="0"/>
                <w:numId w:val="3"/>
              </w:numPr>
              <w:spacing w:line="240" w:lineRule="auto"/>
              <w:ind w:left="284" w:hanging="426"/>
              <w:jc w:val="both"/>
              <w:rPr>
                <w:rFonts w:ascii="Calibri" w:cs="Calibri" w:eastAsia="Calibri" w:hAnsi="Calibri"/>
              </w:rPr>
            </w:pPr>
            <w:r w:rsidDel="00000000" w:rsidR="00000000" w:rsidRPr="00000000">
              <w:rPr>
                <w:rFonts w:ascii="Times New Roman" w:cs="Times New Roman" w:eastAsia="Times New Roman" w:hAnsi="Times New Roman"/>
                <w:sz w:val="24"/>
                <w:szCs w:val="24"/>
                <w:rtl w:val="0"/>
              </w:rPr>
              <w:t xml:space="preserve">Harga patokan terendah benih bening lobster (</w:t>
            </w:r>
            <w:r w:rsidDel="00000000" w:rsidR="00000000" w:rsidRPr="00000000">
              <w:rPr>
                <w:rFonts w:ascii="Times New Roman" w:cs="Times New Roman" w:eastAsia="Times New Roman" w:hAnsi="Times New Roman"/>
                <w:i w:val="1"/>
                <w:sz w:val="24"/>
                <w:szCs w:val="24"/>
                <w:rtl w:val="0"/>
              </w:rPr>
              <w:t xml:space="preserve">puerulus</w:t>
            </w:r>
            <w:r w:rsidDel="00000000" w:rsidR="00000000" w:rsidRPr="00000000">
              <w:rPr>
                <w:rFonts w:ascii="Times New Roman" w:cs="Times New Roman" w:eastAsia="Times New Roman" w:hAnsi="Times New Roman"/>
                <w:sz w:val="24"/>
                <w:szCs w:val="24"/>
                <w:rtl w:val="0"/>
              </w:rPr>
              <w:t xml:space="preserve">) di nelayan dijadikan dasar pertimbangan dan usulan harga patokan ekspor yang ditetapkan oleh kementerian yang menyelenggarakan tugas dan fungsi dibidang perdagangan. </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9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Aktifitas sosialisasi dan pengawasan yang dilakukan pihak UPTD</w:t>
            </w:r>
          </w:p>
          <w:p w:rsidR="00000000" w:rsidDel="00000000" w:rsidP="00000000" w:rsidRDefault="00000000" w:rsidRPr="00000000" w14:paraId="000000A0">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numPr>
                <w:ilvl w:val="0"/>
                <w:numId w:val="1"/>
              </w:numPr>
              <w:spacing w:line="240" w:lineRule="auto"/>
              <w:ind w:left="677"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Harga yang berlaku sesuai dengan harga yang diberikan oleh pihak tengkulak; </w:t>
            </w:r>
          </w:p>
          <w:p w:rsidR="00000000" w:rsidDel="00000000" w:rsidP="00000000" w:rsidRDefault="00000000" w:rsidRPr="00000000" w14:paraId="000000A4">
            <w:pPr>
              <w:numPr>
                <w:ilvl w:val="0"/>
                <w:numId w:val="1"/>
              </w:numPr>
              <w:spacing w:line="240" w:lineRule="auto"/>
              <w:ind w:left="677"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Aktivitas pelelangan tidak berjalan, sehingga harga ditentukan oleh satu pihak yaitu tengkulak;</w:t>
            </w:r>
          </w:p>
          <w:p w:rsidR="00000000" w:rsidDel="00000000" w:rsidP="00000000" w:rsidRDefault="00000000" w:rsidRPr="00000000" w14:paraId="000000A5">
            <w:pPr>
              <w:numPr>
                <w:ilvl w:val="0"/>
                <w:numId w:val="1"/>
              </w:numPr>
              <w:spacing w:line="240" w:lineRule="auto"/>
              <w:ind w:left="677"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Buruknya peran pihak pemerintah setempat dalam pemeliharaan dan pengawasan kegiatan perikanan yang berlangsung di perairan Kecamatan Cidaun.</w:t>
            </w:r>
          </w:p>
        </w:tc>
      </w:tr>
    </w:tbl>
    <w:p w:rsidR="00000000" w:rsidDel="00000000" w:rsidP="00000000" w:rsidRDefault="00000000" w:rsidRPr="00000000" w14:paraId="000000A6">
      <w:pPr>
        <w:spacing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Hasil analisis isi kebijakan dilihat dari mandat, implementasi dan realisasi. Mandat yang tercantum mengatur ketentuan terkait pengelolaan lobster diantaranya nelayan yang terlibat dalam penangkapan lobster, ukuran, alat tangkap, harga, budidaya dan ekspor. Implementasi kebijakan dilakukan dengan aktifitas sosialisasi dan pengawasan yang dilakukan pihak UPTD. Realisasi dari kebijakan tersebut menunjukkan bahwa selain alat penangkapan, semua mandat kebijakan tidak dipatuhi dengan semestinya. </w:t>
      </w:r>
    </w:p>
    <w:p w:rsidR="00000000" w:rsidDel="00000000" w:rsidP="00000000" w:rsidRDefault="00000000" w:rsidRPr="00000000" w14:paraId="000000A7">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numPr>
          <w:ilvl w:val="0"/>
          <w:numId w:val="12"/>
        </w:numPr>
        <w:spacing w:after="240" w:line="24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Tingkat pemahaman dan persepsi nelayan</w:t>
      </w:r>
    </w:p>
    <w:p w:rsidR="00000000" w:rsidDel="00000000" w:rsidP="00000000" w:rsidRDefault="00000000" w:rsidRPr="00000000" w14:paraId="000000A9">
      <w:pPr>
        <w:spacing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Pengetahuan dan persepsi nelayan terhadap kebijakan dalam hal ini terkait PERMENKP No.12/2020 mengenai pengelolaan lobster (</w:t>
      </w:r>
      <w:r w:rsidDel="00000000" w:rsidR="00000000" w:rsidRPr="00000000">
        <w:rPr>
          <w:rFonts w:ascii="Times New Roman" w:cs="Times New Roman" w:eastAsia="Times New Roman" w:hAnsi="Times New Roman"/>
          <w:i w:val="1"/>
          <w:sz w:val="24"/>
          <w:szCs w:val="24"/>
          <w:rtl w:val="0"/>
        </w:rPr>
        <w:t xml:space="preserve">Panulirus spp.)</w:t>
      </w:r>
      <w:r w:rsidDel="00000000" w:rsidR="00000000" w:rsidRPr="00000000">
        <w:rPr>
          <w:rFonts w:ascii="Times New Roman" w:cs="Times New Roman" w:eastAsia="Times New Roman" w:hAnsi="Times New Roman"/>
          <w:sz w:val="24"/>
          <w:szCs w:val="24"/>
          <w:rtl w:val="0"/>
        </w:rPr>
        <w:t xml:space="preserve"> merupakan output akhir yang ingin dicapai dalam implementasi kebijakan. Output yang diharapkan tentunya berupa penerimaan kebijakan dan timbulnya kesadaran nelayan akan arti pentingnya kebijakan dalam pengelolaan sumberdaya lobster (</w:t>
      </w:r>
      <w:r w:rsidDel="00000000" w:rsidR="00000000" w:rsidRPr="00000000">
        <w:rPr>
          <w:rFonts w:ascii="Times New Roman" w:cs="Times New Roman" w:eastAsia="Times New Roman" w:hAnsi="Times New Roman"/>
          <w:i w:val="1"/>
          <w:sz w:val="24"/>
          <w:szCs w:val="24"/>
          <w:rtl w:val="0"/>
        </w:rPr>
        <w:t xml:space="preserve">Panulirus spp.</w:t>
      </w:r>
      <w:r w:rsidDel="00000000" w:rsidR="00000000" w:rsidRPr="00000000">
        <w:rPr>
          <w:rFonts w:ascii="Times New Roman" w:cs="Times New Roman" w:eastAsia="Times New Roman" w:hAnsi="Times New Roman"/>
          <w:sz w:val="24"/>
          <w:szCs w:val="24"/>
          <w:rtl w:val="0"/>
        </w:rPr>
        <w:t xml:space="preserve">) di perairan Kecamatan Cidaun itu sendiri. </w:t>
      </w:r>
    </w:p>
    <w:p w:rsidR="00000000" w:rsidDel="00000000" w:rsidP="00000000" w:rsidRDefault="00000000" w:rsidRPr="00000000" w14:paraId="000000AA">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hasil wawancara mendalam diketahui bahwa pengetahuan nelayan mengenai PERMENKP No.12/2020 hanya sebatas pengetahuan bahwa kegiatan penangkapan benih lobster sekarang boleh dilakukan, tanpa ada pengetahuan dan pemahaman lebih lanjut mengenai bagaimana isi kebijakan tersebut. Pengetahuan yang didapat juga hanya sekedar dari media informasi seperti surat kabar dan berita dari televisi. Sementara itu minimnya pengetahuan mengenai isi dari kebijakan tersebut tidak mengurangi dukungan masyarakat nelayan di Kecamatan Cidaun terhadap kebijakan tersebut.</w:t>
      </w:r>
    </w:p>
    <w:p w:rsidR="00000000" w:rsidDel="00000000" w:rsidP="00000000" w:rsidRDefault="00000000" w:rsidRPr="00000000" w14:paraId="000000AB">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Menurut Baron dan Byrne (2004), persepsi adalah suatu proses memilih, mengorganisir, dan menginterpretasi informasi dikumpulkan oleh pengertian seseorang dengan maksud untuk memahami dunia sekitar. Persepsi yang selektif dapat menjadi salah satu kunci dalam menentukan sikap serta perilaku. Persepsi memahami objek dan kemudian menginterpretasikannya menjadi sebuah perilaku. Pemaknaan suatu objek dapat bergantung pada perseptornya. Proses memahami lingkungan juga menjadi penting dalam upaya menentukan perilaku yang akan dilakukan olehnya (Ross dan Nisbett 1991).</w:t>
      </w:r>
    </w:p>
    <w:p w:rsidR="00000000" w:rsidDel="00000000" w:rsidP="00000000" w:rsidRDefault="00000000" w:rsidRPr="00000000" w14:paraId="000000AC">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penelitian yang dilakukan di Kecamatan Cidaun, persepsi nelayan mengenai penangkapan benih lobster yang dilakukan terus menerus tidak memiliki dampak apa-apa bagi ketersediaan sumberdaya lobster di perairan Kecamatan Cidaun. Hal tersebut diperkuat dengan argumen nelayan bahwa walaupun selama ini penangkapan benih lobster terus dilakukan tapi ketersediaan lobster masih tetap terjaga. Sehingga kepedulian terhadap hal lain selain keuntungan tidak menjadi bahan pertimbangan dalam melakukan kegiatan penangkapan lobster.</w:t>
      </w:r>
    </w:p>
    <w:p w:rsidR="00000000" w:rsidDel="00000000" w:rsidP="00000000" w:rsidRDefault="00000000" w:rsidRPr="00000000" w14:paraId="000000AD">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KESIMPULAN </w:t>
      </w:r>
      <w:r w:rsidDel="00000000" w:rsidR="00000000" w:rsidRPr="00000000">
        <w:rPr>
          <w:rtl w:val="0"/>
        </w:rPr>
      </w:r>
    </w:p>
    <w:p w:rsidR="00000000" w:rsidDel="00000000" w:rsidP="00000000" w:rsidRDefault="00000000" w:rsidRPr="00000000" w14:paraId="000000AF">
      <w:pPr>
        <w:widowControl w:val="0"/>
        <w:tabs>
          <w:tab w:val="left" w:leader="none" w:pos="821"/>
        </w:tabs>
        <w:spacing w:before="41" w:line="240" w:lineRule="auto"/>
        <w:ind w:right="12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Hasil analisis isi kebijakan dilihat dari mandat, implementasi dan realisasi. Mandat yang tercantum mengatur ketentuan terkait pengelolaan lobster diantaranya nelayan yang terlibat dalam penangkapan lobster, ukuran, alat tangkap, harga, budidaya dan ekspor. Implementasi kebijakan dilakukan dengan aktivitas sosialisasi dan pengawasan yang dilakukan pihak UPTD. Realisasi dari kebijakan tersebut menunjukkan bahwa selain alat penangkapan, semua mandat kebijakan tidak dipatuhi dengan semestinya. Implementasi yang tidak dilakukan dengan baik mempengaruhi pemahaman dan persepsi nelayan mengenai kebijakan yang berlaku dalam kegiatan pengelolaan lobster.  </w:t>
      </w:r>
    </w:p>
    <w:p w:rsidR="00000000" w:rsidDel="00000000" w:rsidP="00000000" w:rsidRDefault="00000000" w:rsidRPr="00000000" w14:paraId="000000B0">
      <w:pPr>
        <w:widowControl w:val="0"/>
        <w:tabs>
          <w:tab w:val="left" w:leader="none" w:pos="821"/>
        </w:tabs>
        <w:spacing w:before="41" w:line="240" w:lineRule="auto"/>
        <w:ind w:right="123"/>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DAFTAR PUSTAKA</w:t>
      </w:r>
    </w:p>
    <w:p w:rsidR="00000000" w:rsidDel="00000000" w:rsidP="00000000" w:rsidRDefault="00000000" w:rsidRPr="00000000" w14:paraId="000000B2">
      <w:pPr>
        <w:spacing w:line="240" w:lineRule="auto"/>
        <w:ind w:left="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Ekonomi Suwono AmaNU : Jurnal Manajemen Dan Ekonomi, 3(1), 55–72.Kementerian Kelautan dan Perikanan. 2019. Kelatan dan Perikanan dalam Angka Tahun 2019. Pusat Data, Statistika dan Ekonomi Kementerian Kelautan dan Perikanan</w:t>
      </w:r>
    </w:p>
    <w:p w:rsidR="00000000" w:rsidDel="00000000" w:rsidP="00000000" w:rsidRDefault="00000000" w:rsidRPr="00000000" w14:paraId="000000B3">
      <w:pPr>
        <w:spacing w:line="240" w:lineRule="auto"/>
        <w:ind w:left="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Witomo CM, Nurlaili. 2015. Strategi keberlanjutan pengelolaan benih lobster di Perairan Lombok. Jurnal Kebijakan Sosek KP, 5 (1):11-18.</w:t>
      </w:r>
    </w:p>
    <w:p w:rsidR="00000000" w:rsidDel="00000000" w:rsidP="00000000" w:rsidRDefault="00000000" w:rsidRPr="00000000" w14:paraId="000000B4">
      <w:pPr>
        <w:spacing w:line="240" w:lineRule="auto"/>
        <w:ind w:left="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Furqan, Tri Wiji Nurani, Eko Sri Wiyono, Deni Achmad Soeboer. 2017. Tingkat Pemahaman Nelayan Terkait dengan Kebijakan Pelarangan Penangkapan Benih Lobster Panulirus spp. di Palabuhanratu. Albacore  Volume I, No 3, Hal 297-308</w:t>
      </w:r>
    </w:p>
    <w:p w:rsidR="00000000" w:rsidDel="00000000" w:rsidP="00000000" w:rsidRDefault="00000000" w:rsidRPr="00000000" w14:paraId="000000B5">
      <w:pPr>
        <w:spacing w:line="240" w:lineRule="auto"/>
        <w:ind w:left="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Baron &amp; Byrne. Psikologi Sosial. Edisi kesepuluh. Erlangga: Jakarta</w:t>
      </w:r>
    </w:p>
    <w:p w:rsidR="00000000" w:rsidDel="00000000" w:rsidP="00000000" w:rsidRDefault="00000000" w:rsidRPr="00000000" w14:paraId="000000B6">
      <w:pPr>
        <w:spacing w:line="240" w:lineRule="auto"/>
        <w:ind w:left="567"/>
        <w:jc w:val="both"/>
        <w:rPr>
          <w:rFonts w:ascii="Times New Roman" w:cs="Times New Roman" w:eastAsia="Times New Roman" w:hAnsi="Times New Roman"/>
          <w:sz w:val="24"/>
          <w:szCs w:val="24"/>
        </w:rPr>
        <w:sectPr>
          <w:type w:val="continuous"/>
          <w:pgSz w:h="16834" w:w="11909" w:orient="portrait"/>
          <w:pgMar w:bottom="1701" w:top="1701" w:left="1701" w:right="1418" w:header="720" w:footer="720"/>
          <w:titlePg w:val="1"/>
        </w:sectPr>
      </w:pPr>
      <w:r w:rsidDel="00000000" w:rsidR="00000000" w:rsidRPr="00000000">
        <w:rPr>
          <w:rFonts w:ascii="Times New Roman" w:cs="Times New Roman" w:eastAsia="Times New Roman" w:hAnsi="Times New Roman"/>
          <w:sz w:val="24"/>
          <w:szCs w:val="24"/>
          <w:rtl w:val="0"/>
        </w:rPr>
        <w:t xml:space="preserve">Ross L, Nisbett RE (1991). The Person and The Situation: Perspectives of social psychology [internet]. [dikutip 4 Oktober 2014]. Dapat diunduh dari http://psycnet.apa.org/psycinfo/1991-97382-000</w:t>
      </w:r>
    </w:p>
    <w:p w:rsidR="00000000" w:rsidDel="00000000" w:rsidP="00000000" w:rsidRDefault="00000000" w:rsidRPr="00000000" w14:paraId="000000B7">
      <w:pPr>
        <w:widowControl w:val="0"/>
        <w:spacing w:before="9" w:line="240" w:lineRule="auto"/>
        <w:jc w:val="both"/>
        <w:rPr>
          <w:rFonts w:ascii="Times New Roman" w:cs="Times New Roman" w:eastAsia="Times New Roman" w:hAnsi="Times New Roman"/>
          <w:sz w:val="23"/>
          <w:szCs w:val="23"/>
        </w:rPr>
        <w:sectPr>
          <w:type w:val="nextPage"/>
          <w:pgSz w:h="16834" w:w="11909" w:orient="portrait"/>
          <w:pgMar w:bottom="1701" w:top="1701" w:left="1701" w:right="1418" w:header="720" w:footer="720"/>
          <w:cols w:equalWidth="0" w:num="2">
            <w:col w:space="720" w:w="4034"/>
            <w:col w:space="0" w:w="4034"/>
          </w:cols>
        </w:sectPr>
      </w:pPr>
      <w:r w:rsidDel="00000000" w:rsidR="00000000" w:rsidRPr="00000000">
        <w:rPr>
          <w:rtl w:val="0"/>
        </w:rPr>
      </w:r>
    </w:p>
    <w:p w:rsidR="00000000" w:rsidDel="00000000" w:rsidP="00000000" w:rsidRDefault="00000000" w:rsidRPr="00000000" w14:paraId="000000B8">
      <w:pPr>
        <w:widowControl w:val="0"/>
        <w:spacing w:before="1" w:line="240" w:lineRule="auto"/>
        <w:ind w:left="0" w:right="120" w:firstLine="0"/>
        <w:jc w:val="both"/>
        <w:rPr>
          <w:rFonts w:ascii="Times New Roman" w:cs="Times New Roman" w:eastAsia="Times New Roman" w:hAnsi="Times New Roman"/>
          <w:sz w:val="24"/>
          <w:szCs w:val="24"/>
        </w:rPr>
        <w:sectPr>
          <w:type w:val="continuous"/>
          <w:pgSz w:h="16834" w:w="11909" w:orient="portrait"/>
          <w:pgMar w:bottom="1701" w:top="1701" w:left="1701" w:right="1418" w:header="720" w:footer="720"/>
          <w:titlePg w:val="1"/>
        </w:sectPr>
      </w:pPr>
      <w:r w:rsidDel="00000000" w:rsidR="00000000" w:rsidRPr="00000000">
        <w:rPr>
          <w:rtl w:val="0"/>
        </w:rPr>
      </w:r>
    </w:p>
    <w:p w:rsidR="00000000" w:rsidDel="00000000" w:rsidP="00000000" w:rsidRDefault="00000000" w:rsidRPr="00000000" w14:paraId="000000B9">
      <w:pPr>
        <w:widowControl w:val="0"/>
        <w:spacing w:line="240" w:lineRule="auto"/>
        <w:ind w:right="585"/>
        <w:rPr>
          <w:rFonts w:ascii="Garamond" w:cs="Garamond" w:eastAsia="Garamond" w:hAnsi="Garamond"/>
          <w:sz w:val="24"/>
          <w:szCs w:val="24"/>
        </w:rPr>
        <w:sectPr>
          <w:type w:val="nextPage"/>
          <w:pgSz w:h="16834" w:w="11909" w:orient="portrait"/>
          <w:pgMar w:bottom="280" w:top="1420" w:left="1340" w:right="1320" w:header="360" w:footer="360"/>
        </w:sect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sectPr>
      <w:type w:val="continuous"/>
      <w:pgSz w:h="16834" w:w="11909" w:orient="portrait"/>
      <w:pgMar w:bottom="1701" w:top="1701" w:left="1701" w:right="1418"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B">
    <w:pPr>
      <w:tabs>
        <w:tab w:val="center" w:leader="none" w:pos="4513"/>
        <w:tab w:val="right" w:leader="none" w:pos="9026"/>
      </w:tabs>
      <w:spacing w:line="240" w:lineRule="auto"/>
      <w:ind w:left="1560" w:firstLine="0"/>
      <w:rPr>
        <w:rFonts w:ascii="Garamond" w:cs="Garamond" w:eastAsia="Garamond" w:hAnsi="Garamond"/>
        <w:b w:val="1"/>
        <w:sz w:val="20"/>
        <w:szCs w:val="20"/>
      </w:rPr>
    </w:pPr>
    <w:r w:rsidDel="00000000" w:rsidR="00000000" w:rsidRPr="00000000">
      <w:rPr>
        <w:rFonts w:ascii="Garamond" w:cs="Garamond" w:eastAsia="Garamond" w:hAnsi="Garamond"/>
        <w:b w:val="1"/>
        <w:sz w:val="20"/>
        <w:szCs w:val="20"/>
        <w:rtl w:val="0"/>
      </w:rPr>
      <w:t xml:space="preserve">AGROSCIENCE</w:t>
    </w:r>
    <w:r w:rsidDel="00000000" w:rsidR="00000000" w:rsidRPr="00000000">
      <w:drawing>
        <wp:anchor allowOverlap="1" behindDoc="0" distB="0" distT="0" distL="0" distR="0" hidden="0" layoutInCell="1" locked="0" relativeHeight="0" simplePos="0">
          <wp:simplePos x="0" y="0"/>
          <wp:positionH relativeFrom="column">
            <wp:posOffset>5714</wp:posOffset>
          </wp:positionH>
          <wp:positionV relativeFrom="paragraph">
            <wp:posOffset>-47624</wp:posOffset>
          </wp:positionV>
          <wp:extent cx="906449" cy="906449"/>
          <wp:effectExtent b="0" l="0" r="0" t="0"/>
          <wp:wrapSquare wrapText="bothSides" distB="0" distT="0" distL="0" distR="0"/>
          <wp:docPr descr="Hasil gambar untuk JURNAL AGROSCIENCE" id="2" name="image1.jpg"/>
          <a:graphic>
            <a:graphicData uri="http://schemas.openxmlformats.org/drawingml/2006/picture">
              <pic:pic>
                <pic:nvPicPr>
                  <pic:cNvPr descr="Hasil gambar untuk JURNAL AGROSCIENCE" id="0" name="image1.jpg"/>
                  <pic:cNvPicPr preferRelativeResize="0"/>
                </pic:nvPicPr>
                <pic:blipFill>
                  <a:blip r:embed="rId1"/>
                  <a:srcRect b="0" l="0" r="0" t="0"/>
                  <a:stretch>
                    <a:fillRect/>
                  </a:stretch>
                </pic:blipFill>
                <pic:spPr>
                  <a:xfrm>
                    <a:off x="0" y="0"/>
                    <a:ext cx="906449" cy="906449"/>
                  </a:xfrm>
                  <a:prstGeom prst="rect"/>
                  <a:ln/>
                </pic:spPr>
              </pic:pic>
            </a:graphicData>
          </a:graphic>
        </wp:anchor>
      </w:drawing>
    </w:r>
  </w:p>
  <w:p w:rsidR="00000000" w:rsidDel="00000000" w:rsidP="00000000" w:rsidRDefault="00000000" w:rsidRPr="00000000" w14:paraId="000000BC">
    <w:pPr>
      <w:tabs>
        <w:tab w:val="center" w:leader="none" w:pos="4513"/>
        <w:tab w:val="right" w:leader="none" w:pos="9026"/>
      </w:tabs>
      <w:spacing w:line="240" w:lineRule="auto"/>
      <w:ind w:left="1560" w:firstLine="0"/>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p-</w:t>
    </w:r>
    <w:hyperlink r:id="rId2">
      <w:r w:rsidDel="00000000" w:rsidR="00000000" w:rsidRPr="00000000">
        <w:rPr>
          <w:rFonts w:ascii="Garamond" w:cs="Garamond" w:eastAsia="Garamond" w:hAnsi="Garamond"/>
          <w:sz w:val="20"/>
          <w:szCs w:val="20"/>
          <w:rtl w:val="0"/>
        </w:rPr>
        <w:t xml:space="preserve">ISSN : 1979-4681</w:t>
      </w:r>
    </w:hyperlink>
    <w:r w:rsidDel="00000000" w:rsidR="00000000" w:rsidRPr="00000000">
      <w:rPr>
        <w:rtl w:val="0"/>
      </w:rPr>
    </w:r>
  </w:p>
  <w:p w:rsidR="00000000" w:rsidDel="00000000" w:rsidP="00000000" w:rsidRDefault="00000000" w:rsidRPr="00000000" w14:paraId="000000BD">
    <w:pPr>
      <w:tabs>
        <w:tab w:val="center" w:leader="none" w:pos="4513"/>
        <w:tab w:val="right" w:leader="none" w:pos="9026"/>
      </w:tabs>
      <w:spacing w:line="240" w:lineRule="auto"/>
      <w:ind w:left="1560" w:firstLine="0"/>
      <w:rPr>
        <w:rFonts w:ascii="Garamond" w:cs="Garamond" w:eastAsia="Garamond" w:hAnsi="Garamond"/>
        <w:sz w:val="20"/>
        <w:szCs w:val="20"/>
      </w:rPr>
    </w:pPr>
    <w:hyperlink r:id="rId3">
      <w:r w:rsidDel="00000000" w:rsidR="00000000" w:rsidRPr="00000000">
        <w:rPr>
          <w:rFonts w:ascii="Garamond" w:cs="Garamond" w:eastAsia="Garamond" w:hAnsi="Garamond"/>
          <w:sz w:val="20"/>
          <w:szCs w:val="20"/>
          <w:rtl w:val="0"/>
        </w:rPr>
        <w:t xml:space="preserve">e-ISSN : 2579-7891</w:t>
      </w:r>
    </w:hyperlink>
    <w:r w:rsidDel="00000000" w:rsidR="00000000" w:rsidRPr="00000000">
      <w:rPr>
        <w:rtl w:val="0"/>
      </w:rPr>
    </w:r>
  </w:p>
  <w:p w:rsidR="00000000" w:rsidDel="00000000" w:rsidP="00000000" w:rsidRDefault="00000000" w:rsidRPr="00000000" w14:paraId="000000BE">
    <w:pPr>
      <w:tabs>
        <w:tab w:val="center" w:leader="none" w:pos="4513"/>
        <w:tab w:val="right" w:leader="none" w:pos="9026"/>
      </w:tabs>
      <w:spacing w:line="240" w:lineRule="auto"/>
      <w:ind w:left="1560" w:firstLine="0"/>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Volume......... Nomor.......... Tahun..........</w:t>
    </w:r>
  </w:p>
  <w:p w:rsidR="00000000" w:rsidDel="00000000" w:rsidP="00000000" w:rsidRDefault="00000000" w:rsidRPr="00000000" w14:paraId="000000BF">
    <w:pPr>
      <w:tabs>
        <w:tab w:val="center" w:leader="none" w:pos="4513"/>
        <w:tab w:val="right" w:leader="none" w:pos="9026"/>
      </w:tabs>
      <w:spacing w:line="240" w:lineRule="auto"/>
      <w:ind w:left="1560" w:firstLine="0"/>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Halaman...... s/d.....</w:t>
    </w:r>
  </w:p>
  <w:p w:rsidR="00000000" w:rsidDel="00000000" w:rsidP="00000000" w:rsidRDefault="00000000" w:rsidRPr="00000000" w14:paraId="000000C0">
    <w:pPr>
      <w:tabs>
        <w:tab w:val="center" w:leader="none" w:pos="4513"/>
        <w:tab w:val="right" w:leader="none" w:pos="9026"/>
      </w:tabs>
      <w:spacing w:line="240" w:lineRule="auto"/>
      <w:ind w:left="1560" w:firstLine="0"/>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Available Online at https : </w:t>
    </w:r>
    <w:hyperlink r:id="rId4">
      <w:r w:rsidDel="00000000" w:rsidR="00000000" w:rsidRPr="00000000">
        <w:rPr>
          <w:rFonts w:ascii="Garamond" w:cs="Garamond" w:eastAsia="Garamond" w:hAnsi="Garamond"/>
          <w:sz w:val="20"/>
          <w:szCs w:val="20"/>
          <w:rtl w:val="0"/>
        </w:rPr>
        <w:t xml:space="preserve">https://jurnal.unsur.ac.id/agroscience</w:t>
      </w:r>
    </w:hyperlink>
    <w:r w:rsidDel="00000000" w:rsidR="00000000" w:rsidRPr="00000000">
      <w:rPr>
        <w:rtl w:val="0"/>
      </w:rPr>
    </w:r>
  </w:p>
  <w:p w:rsidR="00000000" w:rsidDel="00000000" w:rsidP="00000000" w:rsidRDefault="00000000" w:rsidRPr="00000000" w14:paraId="000000C1">
    <w:pPr>
      <w:tabs>
        <w:tab w:val="center" w:leader="none" w:pos="4513"/>
        <w:tab w:val="right" w:leader="none" w:pos="9026"/>
      </w:tabs>
      <w:spacing w:line="240" w:lineRule="auto"/>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12700</wp:posOffset>
              </wp:positionV>
              <wp:extent cx="5626100" cy="127000"/>
              <wp:effectExtent b="0" l="0" r="0" t="0"/>
              <wp:wrapNone/>
              <wp:docPr id="1" name=""/>
              <a:graphic>
                <a:graphicData uri="http://schemas.microsoft.com/office/word/2010/wordprocessingShape">
                  <wps:wsp>
                    <wps:cNvCnPr/>
                    <wps:spPr>
                      <a:xfrm>
                        <a:off x="2564700" y="3780000"/>
                        <a:ext cx="5562600" cy="0"/>
                      </a:xfrm>
                      <a:prstGeom prst="straightConnector1">
                        <a:avLst/>
                      </a:prstGeom>
                      <a:noFill/>
                      <a:ln cap="flat" cmpd="thinThick" w="63500">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12700</wp:posOffset>
              </wp:positionV>
              <wp:extent cx="5626100" cy="127000"/>
              <wp:effectExtent b="0" l="0" r="0" t="0"/>
              <wp:wrapNone/>
              <wp:docPr id="1" name="image2.png"/>
              <a:graphic>
                <a:graphicData uri="http://schemas.openxmlformats.org/drawingml/2006/picture">
                  <pic:pic>
                    <pic:nvPicPr>
                      <pic:cNvPr id="0" name="image2.png"/>
                      <pic:cNvPicPr preferRelativeResize="0"/>
                    </pic:nvPicPr>
                    <pic:blipFill>
                      <a:blip r:embed="rId5"/>
                      <a:srcRect/>
                      <a:stretch>
                        <a:fillRect/>
                      </a:stretch>
                    </pic:blipFill>
                    <pic:spPr>
                      <a:xfrm>
                        <a:off x="0" y="0"/>
                        <a:ext cx="5626100" cy="127000"/>
                      </a:xfrm>
                      <a:prstGeom prst="rect"/>
                      <a:ln/>
                    </pic:spPr>
                  </pic:pic>
                </a:graphicData>
              </a:graphic>
            </wp:anchor>
          </w:drawing>
        </mc:Fallback>
      </mc:AlternateContent>
    </w:r>
  </w:p>
  <w:p w:rsidR="00000000" w:rsidDel="00000000" w:rsidP="00000000" w:rsidRDefault="00000000" w:rsidRPr="00000000" w14:paraId="000000C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677" w:hanging="360"/>
      </w:pPr>
      <w:rPr/>
    </w:lvl>
    <w:lvl w:ilvl="1">
      <w:start w:val="1"/>
      <w:numFmt w:val="lowerLetter"/>
      <w:lvlText w:val="%2."/>
      <w:lvlJc w:val="left"/>
      <w:pPr>
        <w:ind w:left="1397" w:hanging="360"/>
      </w:pPr>
      <w:rPr/>
    </w:lvl>
    <w:lvl w:ilvl="2">
      <w:start w:val="1"/>
      <w:numFmt w:val="lowerRoman"/>
      <w:lvlText w:val="%3."/>
      <w:lvlJc w:val="right"/>
      <w:pPr>
        <w:ind w:left="2117" w:hanging="180"/>
      </w:pPr>
      <w:rPr/>
    </w:lvl>
    <w:lvl w:ilvl="3">
      <w:start w:val="1"/>
      <w:numFmt w:val="decimal"/>
      <w:lvlText w:val="%4."/>
      <w:lvlJc w:val="left"/>
      <w:pPr>
        <w:ind w:left="2837" w:hanging="360"/>
      </w:pPr>
      <w:rPr/>
    </w:lvl>
    <w:lvl w:ilvl="4">
      <w:start w:val="1"/>
      <w:numFmt w:val="lowerLetter"/>
      <w:lvlText w:val="%5."/>
      <w:lvlJc w:val="left"/>
      <w:pPr>
        <w:ind w:left="3557" w:hanging="360"/>
      </w:pPr>
      <w:rPr/>
    </w:lvl>
    <w:lvl w:ilvl="5">
      <w:start w:val="1"/>
      <w:numFmt w:val="lowerRoman"/>
      <w:lvlText w:val="%6."/>
      <w:lvlJc w:val="right"/>
      <w:pPr>
        <w:ind w:left="4277" w:hanging="180"/>
      </w:pPr>
      <w:rPr/>
    </w:lvl>
    <w:lvl w:ilvl="6">
      <w:start w:val="1"/>
      <w:numFmt w:val="decimal"/>
      <w:lvlText w:val="%7."/>
      <w:lvlJc w:val="left"/>
      <w:pPr>
        <w:ind w:left="4997" w:hanging="360"/>
      </w:pPr>
      <w:rPr/>
    </w:lvl>
    <w:lvl w:ilvl="7">
      <w:start w:val="1"/>
      <w:numFmt w:val="lowerLetter"/>
      <w:lvlText w:val="%8."/>
      <w:lvlJc w:val="left"/>
      <w:pPr>
        <w:ind w:left="5717" w:hanging="360"/>
      </w:pPr>
      <w:rPr/>
    </w:lvl>
    <w:lvl w:ilvl="8">
      <w:start w:val="1"/>
      <w:numFmt w:val="lowerRoman"/>
      <w:lvlText w:val="%9."/>
      <w:lvlJc w:val="right"/>
      <w:pPr>
        <w:ind w:left="6437" w:hanging="180"/>
      </w:pPr>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2"/>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desidwidjayanti@gmail.com" TargetMode="External"/><Relationship Id="rId7" Type="http://schemas.openxmlformats.org/officeDocument/2006/relationships/hyperlink" Target="mailto:trisna.insan.noor@unpad.ac.id" TargetMode="External"/><Relationship Id="rId8" Type="http://schemas.openxmlformats.org/officeDocument/2006/relationships/hyperlink" Target="mailto:tridakusumah@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http://u.lipi.go.id/1327791676" TargetMode="External"/><Relationship Id="rId3" Type="http://schemas.openxmlformats.org/officeDocument/2006/relationships/hyperlink" Target="http://u.lipi.go.id/1489380089" TargetMode="External"/><Relationship Id="rId4" Type="http://schemas.openxmlformats.org/officeDocument/2006/relationships/hyperlink" Target="https://jurnal.unsur.ac.id/agroscience/index" TargetMode="External"/><Relationship Id="rId5"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